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7D1A7EE2" w:rsidR="006E78E0" w:rsidRPr="004F7767" w:rsidRDefault="00FE3310" w:rsidP="00297489">
                            <w:pPr>
                              <w:pStyle w:val="Heading1"/>
                              <w:rPr>
                                <w:rStyle w:val="SubtleReference"/>
                                <w:color w:val="2E3B42" w:themeColor="accent2"/>
                              </w:rPr>
                            </w:pPr>
                            <w:proofErr w:type="spellStart"/>
                            <w:r>
                              <w:rPr>
                                <w:rStyle w:val="SubtleReference"/>
                                <w:color w:val="2E3B42" w:themeColor="accent2"/>
                              </w:rPr>
                              <w:t>Anaemia</w:t>
                            </w:r>
                            <w:proofErr w:type="spellEnd"/>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7D1A7EE2" w:rsidR="006E78E0" w:rsidRPr="004F7767" w:rsidRDefault="00FE3310" w:rsidP="00297489">
                      <w:pPr>
                        <w:pStyle w:val="Heading1"/>
                        <w:rPr>
                          <w:rStyle w:val="SubtleReference"/>
                          <w:color w:val="2E3B42" w:themeColor="accent2"/>
                        </w:rPr>
                      </w:pPr>
                      <w:proofErr w:type="spellStart"/>
                      <w:r>
                        <w:rPr>
                          <w:rStyle w:val="SubtleReference"/>
                          <w:color w:val="2E3B42" w:themeColor="accent2"/>
                        </w:rPr>
                        <w:t>Anaemia</w:t>
                      </w:r>
                      <w:proofErr w:type="spellEnd"/>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3D4D9A68" w:rsidR="00A3694A" w:rsidRPr="004F7767" w:rsidRDefault="00FE3310"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3D4D9A68" w:rsidR="00A3694A" w:rsidRPr="004F7767" w:rsidRDefault="00FE3310"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4B3D62E6" w14:textId="77777777" w:rsidR="00FE3310" w:rsidRPr="00FE3310" w:rsidRDefault="00FE3310" w:rsidP="00FE3310">
      <w:pPr>
        <w:jc w:val="both"/>
        <w:outlineLvl w:val="1"/>
        <w:rPr>
          <w:b/>
          <w:color w:val="ED1651" w:themeColor="accent4"/>
          <w:sz w:val="32"/>
          <w:szCs w:val="32"/>
        </w:rPr>
      </w:pPr>
      <w:bookmarkStart w:id="0" w:name="_Toc483306671"/>
      <w:proofErr w:type="spellStart"/>
      <w:r w:rsidRPr="00FE3310">
        <w:rPr>
          <w:b/>
          <w:color w:val="ED1651" w:themeColor="accent4"/>
          <w:sz w:val="32"/>
          <w:szCs w:val="32"/>
        </w:rPr>
        <w:lastRenderedPageBreak/>
        <w:t>Anaemia</w:t>
      </w:r>
      <w:bookmarkEnd w:id="0"/>
      <w:proofErr w:type="spellEnd"/>
    </w:p>
    <w:p w14:paraId="0D07DF42" w14:textId="77777777" w:rsidR="00FE3310" w:rsidRPr="00FE3310" w:rsidRDefault="00FE3310" w:rsidP="00FE3310">
      <w:pPr>
        <w:jc w:val="both"/>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FE3310" w:rsidRPr="00FE3310" w14:paraId="58D8EC61" w14:textId="77777777" w:rsidTr="001F5DE3">
        <w:trPr>
          <w:trHeight w:val="845"/>
        </w:trPr>
        <w:tc>
          <w:tcPr>
            <w:tcW w:w="1135" w:type="dxa"/>
            <w:tcBorders>
              <w:top w:val="nil"/>
              <w:bottom w:val="nil"/>
              <w:right w:val="nil"/>
            </w:tcBorders>
            <w:vAlign w:val="center"/>
          </w:tcPr>
          <w:p w14:paraId="020CA851" w14:textId="77777777" w:rsidR="00FE3310" w:rsidRPr="00FE3310" w:rsidRDefault="00FE3310" w:rsidP="00FE3310">
            <w:pPr>
              <w:jc w:val="both"/>
              <w:outlineLvl w:val="2"/>
              <w:rPr>
                <w:b/>
                <w:color w:val="2E3B42" w:themeColor="accent2"/>
                <w:sz w:val="28"/>
                <w:szCs w:val="28"/>
              </w:rPr>
            </w:pPr>
            <w:r w:rsidRPr="00FE3310">
              <w:rPr>
                <w:b/>
                <w:noProof/>
                <w:color w:val="2E3B42" w:themeColor="accent2"/>
                <w:sz w:val="28"/>
                <w:szCs w:val="28"/>
                <w:lang w:val="el-GR" w:eastAsia="el-GR"/>
              </w:rPr>
              <w:drawing>
                <wp:anchor distT="0" distB="0" distL="114300" distR="114300" simplePos="0" relativeHeight="251663360" behindDoc="0" locked="0" layoutInCell="1" allowOverlap="1" wp14:anchorId="70CC4D68" wp14:editId="68C28C95">
                  <wp:simplePos x="0" y="0"/>
                  <wp:positionH relativeFrom="column">
                    <wp:posOffset>87630</wp:posOffset>
                  </wp:positionH>
                  <wp:positionV relativeFrom="paragraph">
                    <wp:posOffset>-5080</wp:posOffset>
                  </wp:positionV>
                  <wp:extent cx="516890" cy="516890"/>
                  <wp:effectExtent l="25400" t="0" r="0" b="0"/>
                  <wp:wrapNone/>
                  <wp:docPr id="9"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3AA1EDE3" w14:textId="77777777" w:rsidR="00FE3310" w:rsidRPr="00FE3310" w:rsidRDefault="00FE3310" w:rsidP="00FE3310">
            <w:pPr>
              <w:jc w:val="both"/>
            </w:pPr>
          </w:p>
        </w:tc>
        <w:tc>
          <w:tcPr>
            <w:tcW w:w="8159" w:type="dxa"/>
            <w:tcBorders>
              <w:left w:val="nil"/>
            </w:tcBorders>
            <w:vAlign w:val="center"/>
          </w:tcPr>
          <w:p w14:paraId="712FFBB9" w14:textId="77777777" w:rsidR="00FE3310" w:rsidRPr="00FE3310" w:rsidRDefault="00FE3310" w:rsidP="00FE3310">
            <w:pPr>
              <w:numPr>
                <w:ilvl w:val="1"/>
                <w:numId w:val="0"/>
              </w:numPr>
              <w:jc w:val="both"/>
              <w:rPr>
                <w:rFonts w:cstheme="minorBidi"/>
                <w:b/>
                <w:color w:val="2E3B42" w:themeColor="accent2"/>
                <w:sz w:val="28"/>
              </w:rPr>
            </w:pPr>
            <w:r w:rsidRPr="00FE3310">
              <w:rPr>
                <w:rFonts w:cstheme="minorBidi"/>
                <w:b/>
                <w:color w:val="2E3B42" w:themeColor="accent2"/>
                <w:sz w:val="28"/>
              </w:rPr>
              <w:t>Classroom-based tips (focus on instructional methods)</w:t>
            </w:r>
          </w:p>
        </w:tc>
      </w:tr>
    </w:tbl>
    <w:p w14:paraId="14F12EF7" w14:textId="77777777" w:rsidR="00FE3310" w:rsidRPr="00FE3310" w:rsidRDefault="00FE3310" w:rsidP="00FE3310">
      <w:pPr>
        <w:jc w:val="both"/>
        <w:rPr>
          <w:sz w:val="24"/>
          <w:szCs w:val="24"/>
        </w:rPr>
      </w:pPr>
    </w:p>
    <w:p w14:paraId="03A37886" w14:textId="77777777" w:rsidR="00FE3310" w:rsidRPr="00FE3310" w:rsidRDefault="00FE3310" w:rsidP="00FE3310">
      <w:pPr>
        <w:numPr>
          <w:ilvl w:val="0"/>
          <w:numId w:val="7"/>
        </w:numPr>
        <w:jc w:val="both"/>
        <w:rPr>
          <w:szCs w:val="24"/>
        </w:rPr>
      </w:pPr>
      <w:r w:rsidRPr="00FE3310">
        <w:rPr>
          <w:b/>
          <w:szCs w:val="24"/>
        </w:rPr>
        <w:t>Be vigilant when interpreting a pupil’s behavior.</w:t>
      </w:r>
      <w:r w:rsidRPr="00FE3310">
        <w:rPr>
          <w:szCs w:val="24"/>
        </w:rPr>
        <w:t xml:space="preserve"> If undiagnosed, pupils may exhibit some or all of the following behaviors: irritability, fatigue, lack of concentration, avoidance of activities, dizziness and other cognitive problems.</w:t>
      </w:r>
    </w:p>
    <w:p w14:paraId="31536866" w14:textId="77777777" w:rsidR="00FE3310" w:rsidRPr="00FE3310" w:rsidRDefault="00FE3310" w:rsidP="00FE3310">
      <w:pPr>
        <w:ind w:left="720"/>
        <w:jc w:val="both"/>
        <w:rPr>
          <w:szCs w:val="24"/>
        </w:rPr>
      </w:pPr>
    </w:p>
    <w:p w14:paraId="67D8E1FA" w14:textId="77777777" w:rsidR="00FE3310" w:rsidRPr="00FE3310" w:rsidRDefault="00FE3310" w:rsidP="00FE3310">
      <w:pPr>
        <w:numPr>
          <w:ilvl w:val="0"/>
          <w:numId w:val="7"/>
        </w:numPr>
        <w:jc w:val="both"/>
        <w:rPr>
          <w:szCs w:val="24"/>
        </w:rPr>
      </w:pPr>
      <w:r w:rsidRPr="00FE3310">
        <w:rPr>
          <w:b/>
          <w:szCs w:val="24"/>
        </w:rPr>
        <w:t>Ensure that pupil absences are justified;</w:t>
      </w:r>
      <w:r w:rsidRPr="00FE3310">
        <w:rPr>
          <w:szCs w:val="24"/>
        </w:rPr>
        <w:t xml:space="preserve"> encourage parents to take their children for a full check-up. </w:t>
      </w:r>
    </w:p>
    <w:p w14:paraId="06621442" w14:textId="77777777" w:rsidR="00FE3310" w:rsidRPr="00FE3310" w:rsidRDefault="00FE3310" w:rsidP="00FE3310">
      <w:pPr>
        <w:ind w:left="720"/>
        <w:jc w:val="both"/>
        <w:rPr>
          <w:szCs w:val="24"/>
        </w:rPr>
      </w:pPr>
    </w:p>
    <w:p w14:paraId="7BAFD2AF" w14:textId="77777777" w:rsidR="00FE3310" w:rsidRPr="00FE3310" w:rsidRDefault="00FE3310" w:rsidP="00FE3310">
      <w:pPr>
        <w:numPr>
          <w:ilvl w:val="0"/>
          <w:numId w:val="7"/>
        </w:numPr>
        <w:jc w:val="both"/>
        <w:rPr>
          <w:szCs w:val="24"/>
        </w:rPr>
      </w:pPr>
      <w:r w:rsidRPr="00FE3310">
        <w:rPr>
          <w:b/>
          <w:szCs w:val="24"/>
        </w:rPr>
        <w:t>Include healthy eating and nutrition in the curriculum as a life skill</w:t>
      </w:r>
      <w:r w:rsidRPr="00FE3310">
        <w:rPr>
          <w:szCs w:val="24"/>
        </w:rPr>
        <w:t xml:space="preserve"> in the context of a module such as health or science.</w:t>
      </w:r>
    </w:p>
    <w:p w14:paraId="233271F2" w14:textId="77777777" w:rsidR="00FE3310" w:rsidRPr="00FE3310" w:rsidRDefault="00FE3310" w:rsidP="00FE3310">
      <w:pPr>
        <w:ind w:left="720"/>
        <w:jc w:val="both"/>
        <w:rPr>
          <w:szCs w:val="24"/>
        </w:rPr>
      </w:pPr>
    </w:p>
    <w:p w14:paraId="614A19D1" w14:textId="77777777" w:rsidR="00FE3310" w:rsidRPr="00FE3310" w:rsidRDefault="00FE3310" w:rsidP="00FE3310">
      <w:pPr>
        <w:numPr>
          <w:ilvl w:val="0"/>
          <w:numId w:val="7"/>
        </w:numPr>
        <w:jc w:val="both"/>
        <w:rPr>
          <w:b/>
          <w:szCs w:val="24"/>
        </w:rPr>
      </w:pPr>
      <w:r w:rsidRPr="00FE3310">
        <w:rPr>
          <w:b/>
          <w:szCs w:val="24"/>
        </w:rPr>
        <w:t xml:space="preserve">Offer pupils the opportunity to sit at the front of the class to help with concentration. </w:t>
      </w:r>
    </w:p>
    <w:p w14:paraId="72CD5D03" w14:textId="77777777" w:rsidR="00FE3310" w:rsidRPr="00FE3310" w:rsidRDefault="00FE3310" w:rsidP="00FE3310">
      <w:pPr>
        <w:jc w:val="both"/>
        <w:rPr>
          <w:szCs w:val="24"/>
        </w:rPr>
      </w:pPr>
    </w:p>
    <w:p w14:paraId="4B76201E" w14:textId="77777777" w:rsidR="00FE3310" w:rsidRPr="00FE3310" w:rsidRDefault="00FE3310" w:rsidP="00FE3310">
      <w:pPr>
        <w:numPr>
          <w:ilvl w:val="0"/>
          <w:numId w:val="7"/>
        </w:numPr>
        <w:jc w:val="both"/>
        <w:rPr>
          <w:szCs w:val="24"/>
        </w:rPr>
      </w:pPr>
      <w:r w:rsidRPr="00FE3310">
        <w:rPr>
          <w:b/>
          <w:szCs w:val="24"/>
        </w:rPr>
        <w:t>Take an inclusive approach to all activities including physical education</w:t>
      </w:r>
      <w:proofErr w:type="gramStart"/>
      <w:r w:rsidRPr="00FE3310">
        <w:rPr>
          <w:b/>
          <w:szCs w:val="24"/>
        </w:rPr>
        <w:t>;</w:t>
      </w:r>
      <w:r w:rsidRPr="00FE3310">
        <w:rPr>
          <w:szCs w:val="24"/>
        </w:rPr>
        <w:t xml:space="preserve">  bear</w:t>
      </w:r>
      <w:proofErr w:type="gramEnd"/>
      <w:r w:rsidRPr="00FE3310">
        <w:rPr>
          <w:szCs w:val="24"/>
        </w:rPr>
        <w:t xml:space="preserve"> in mind that anemic pupils might exhibit signs of fatigue or dizziness or might need </w:t>
      </w:r>
      <w:r w:rsidRPr="00FE3310">
        <w:t xml:space="preserve">extra time to recover from activity. </w:t>
      </w:r>
    </w:p>
    <w:p w14:paraId="0DBB0B9F" w14:textId="77777777" w:rsidR="00FE3310" w:rsidRPr="00FE3310" w:rsidRDefault="00FE3310" w:rsidP="00FE3310">
      <w:pPr>
        <w:jc w:val="both"/>
        <w:rPr>
          <w:szCs w:val="24"/>
        </w:rPr>
      </w:pPr>
    </w:p>
    <w:p w14:paraId="5BB99BBE" w14:textId="77777777" w:rsidR="00FE3310" w:rsidRPr="00FE3310" w:rsidRDefault="00FE3310" w:rsidP="00FE3310">
      <w:pPr>
        <w:ind w:left="720"/>
        <w:contextualSpacing/>
        <w:jc w:val="both"/>
        <w:rPr>
          <w:i/>
        </w:rPr>
      </w:pPr>
      <w:r w:rsidRPr="00FE3310">
        <w:rPr>
          <w:i/>
          <w:szCs w:val="24"/>
        </w:rPr>
        <w:t>[Reference: Schools and Health</w:t>
      </w:r>
      <w:r w:rsidRPr="00FE3310">
        <w:rPr>
          <w:i/>
        </w:rPr>
        <w:t xml:space="preserve">: </w:t>
      </w:r>
      <w:hyperlink r:id="rId12" w:history="1">
        <w:r w:rsidRPr="00FE3310">
          <w:rPr>
            <w:i/>
            <w:color w:val="74CEE0" w:themeColor="hyperlink"/>
            <w:szCs w:val="24"/>
            <w:u w:val="single"/>
          </w:rPr>
          <w:t>http://www.schoolsandhealth.org/Pages/iron.aspx</w:t>
        </w:r>
      </w:hyperlink>
      <w:r w:rsidRPr="00FE3310">
        <w:rPr>
          <w:i/>
        </w:rPr>
        <w:t>]</w:t>
      </w:r>
    </w:p>
    <w:p w14:paraId="7A989EB6" w14:textId="77777777" w:rsidR="00FE3310" w:rsidRPr="00FE3310" w:rsidRDefault="00FE3310" w:rsidP="00FE3310">
      <w:pPr>
        <w:ind w:left="720"/>
        <w:contextualSpacing/>
        <w:jc w:val="both"/>
        <w:rPr>
          <w:i/>
        </w:rPr>
      </w:pPr>
    </w:p>
    <w:p w14:paraId="4C0DB263" w14:textId="77777777" w:rsidR="00FE3310" w:rsidRPr="00FE3310" w:rsidRDefault="00FE3310" w:rsidP="00FE3310">
      <w:pPr>
        <w:ind w:left="720"/>
        <w:contextualSpacing/>
        <w:jc w:val="both"/>
        <w:rPr>
          <w:i/>
          <w:szCs w:val="24"/>
        </w:rPr>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FE3310" w:rsidRPr="00FE3310" w14:paraId="33F72088" w14:textId="77777777" w:rsidTr="001F5DE3">
        <w:trPr>
          <w:trHeight w:val="845"/>
        </w:trPr>
        <w:tc>
          <w:tcPr>
            <w:tcW w:w="1135" w:type="dxa"/>
            <w:tcBorders>
              <w:top w:val="nil"/>
              <w:bottom w:val="nil"/>
              <w:right w:val="nil"/>
            </w:tcBorders>
            <w:vAlign w:val="center"/>
          </w:tcPr>
          <w:p w14:paraId="44816CFC" w14:textId="77777777" w:rsidR="00FE3310" w:rsidRPr="00FE3310" w:rsidRDefault="00FE3310" w:rsidP="00FE3310">
            <w:pPr>
              <w:jc w:val="both"/>
              <w:outlineLvl w:val="2"/>
              <w:rPr>
                <w:b/>
                <w:color w:val="2E3B42" w:themeColor="accent2"/>
                <w:sz w:val="28"/>
                <w:szCs w:val="28"/>
              </w:rPr>
            </w:pPr>
            <w:r w:rsidRPr="00FE3310">
              <w:rPr>
                <w:b/>
                <w:noProof/>
                <w:color w:val="2E3B42" w:themeColor="accent2"/>
                <w:sz w:val="28"/>
                <w:szCs w:val="28"/>
                <w:lang w:val="el-GR" w:eastAsia="el-GR"/>
              </w:rPr>
              <w:drawing>
                <wp:anchor distT="0" distB="0" distL="114300" distR="114300" simplePos="0" relativeHeight="251664384" behindDoc="0" locked="0" layoutInCell="1" allowOverlap="1" wp14:anchorId="0A982F70" wp14:editId="0B60801B">
                  <wp:simplePos x="0" y="0"/>
                  <wp:positionH relativeFrom="column">
                    <wp:posOffset>112395</wp:posOffset>
                  </wp:positionH>
                  <wp:positionV relativeFrom="paragraph">
                    <wp:posOffset>-47625</wp:posOffset>
                  </wp:positionV>
                  <wp:extent cx="505460" cy="505460"/>
                  <wp:effectExtent l="25400" t="0" r="2540" b="0"/>
                  <wp:wrapNone/>
                  <wp:docPr id="8"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343EE467" w14:textId="77777777" w:rsidR="00FE3310" w:rsidRPr="00FE3310" w:rsidRDefault="00FE3310" w:rsidP="00FE3310">
            <w:pPr>
              <w:jc w:val="both"/>
            </w:pPr>
          </w:p>
        </w:tc>
        <w:tc>
          <w:tcPr>
            <w:tcW w:w="8159" w:type="dxa"/>
            <w:tcBorders>
              <w:left w:val="nil"/>
            </w:tcBorders>
            <w:vAlign w:val="center"/>
          </w:tcPr>
          <w:p w14:paraId="6BCD09A0" w14:textId="77777777" w:rsidR="00FE3310" w:rsidRPr="00FE3310" w:rsidRDefault="00FE3310" w:rsidP="00FE3310">
            <w:pPr>
              <w:numPr>
                <w:ilvl w:val="1"/>
                <w:numId w:val="0"/>
              </w:numPr>
              <w:jc w:val="both"/>
              <w:rPr>
                <w:rFonts w:cstheme="minorBidi"/>
                <w:b/>
                <w:color w:val="2E3B42" w:themeColor="accent2"/>
                <w:sz w:val="28"/>
              </w:rPr>
            </w:pPr>
            <w:r w:rsidRPr="00FE3310">
              <w:rPr>
                <w:rFonts w:cstheme="minorBidi"/>
                <w:b/>
                <w:color w:val="2E3B42" w:themeColor="accent2"/>
                <w:sz w:val="28"/>
              </w:rPr>
              <w:t>School-based practical tips (focus on instructional methods)</w:t>
            </w:r>
          </w:p>
        </w:tc>
      </w:tr>
    </w:tbl>
    <w:p w14:paraId="2AA7E058" w14:textId="77777777" w:rsidR="00FE3310" w:rsidRPr="00FE3310" w:rsidRDefault="00FE3310" w:rsidP="00FE3310">
      <w:pPr>
        <w:jc w:val="both"/>
        <w:outlineLvl w:val="0"/>
        <w:rPr>
          <w:b/>
          <w:color w:val="74CEE0" w:themeColor="accent1"/>
          <w:sz w:val="16"/>
          <w:szCs w:val="16"/>
        </w:rPr>
      </w:pPr>
    </w:p>
    <w:p w14:paraId="055648C5" w14:textId="77777777" w:rsidR="00FE3310" w:rsidRPr="00FE3310" w:rsidRDefault="00FE3310" w:rsidP="00FE3310">
      <w:pPr>
        <w:jc w:val="both"/>
        <w:outlineLvl w:val="2"/>
        <w:rPr>
          <w:b/>
          <w:color w:val="2E3B42" w:themeColor="accent2"/>
          <w:sz w:val="28"/>
          <w:szCs w:val="28"/>
          <w:lang w:val="en-GB"/>
        </w:rPr>
      </w:pPr>
      <w:r w:rsidRPr="00FE3310">
        <w:rPr>
          <w:b/>
          <w:color w:val="2E3B42" w:themeColor="accent2"/>
          <w:sz w:val="28"/>
          <w:szCs w:val="28"/>
          <w:lang w:val="en-GB"/>
        </w:rPr>
        <w:t>Food: Canteen / Visits / Camps / Trips</w:t>
      </w:r>
    </w:p>
    <w:p w14:paraId="5A3254E7" w14:textId="77777777" w:rsidR="00FE3310" w:rsidRPr="00FE3310" w:rsidRDefault="00FE3310" w:rsidP="00FE3310">
      <w:pPr>
        <w:jc w:val="both"/>
      </w:pPr>
    </w:p>
    <w:p w14:paraId="57F0099E" w14:textId="77777777" w:rsidR="00FE3310" w:rsidRPr="00FE3310" w:rsidRDefault="00FE3310" w:rsidP="00FE3310">
      <w:pPr>
        <w:numPr>
          <w:ilvl w:val="0"/>
          <w:numId w:val="8"/>
        </w:numPr>
        <w:jc w:val="both"/>
        <w:rPr>
          <w:b/>
          <w:szCs w:val="24"/>
        </w:rPr>
      </w:pPr>
      <w:r w:rsidRPr="00FE3310">
        <w:rPr>
          <w:b/>
          <w:szCs w:val="24"/>
        </w:rPr>
        <w:t xml:space="preserve">Ensure that the school canteen offers foods or snacks that are rich in iron. </w:t>
      </w:r>
    </w:p>
    <w:p w14:paraId="2EADDB39" w14:textId="77777777" w:rsidR="00FE3310" w:rsidRPr="00FE3310" w:rsidRDefault="00FE3310" w:rsidP="00FE3310">
      <w:pPr>
        <w:ind w:left="720"/>
        <w:jc w:val="both"/>
        <w:rPr>
          <w:b/>
          <w:szCs w:val="24"/>
        </w:rPr>
      </w:pPr>
    </w:p>
    <w:p w14:paraId="5EBFF7F7" w14:textId="77777777" w:rsidR="00FE3310" w:rsidRPr="00FE3310" w:rsidRDefault="00FE3310" w:rsidP="00FE3310">
      <w:pPr>
        <w:ind w:left="720"/>
        <w:contextualSpacing/>
        <w:jc w:val="both"/>
        <w:rPr>
          <w:i/>
        </w:rPr>
      </w:pPr>
      <w:r w:rsidRPr="00FE3310">
        <w:rPr>
          <w:i/>
        </w:rPr>
        <w:t xml:space="preserve">[Reference: Schools and Health: </w:t>
      </w:r>
      <w:hyperlink r:id="rId14" w:history="1">
        <w:r w:rsidRPr="00FE3310">
          <w:rPr>
            <w:i/>
            <w:color w:val="74CEE0" w:themeColor="hyperlink"/>
            <w:u w:val="single"/>
          </w:rPr>
          <w:t>http://www.schoolsandhealth.org/Pages/iron.aspx</w:t>
        </w:r>
      </w:hyperlink>
      <w:r w:rsidRPr="00FE3310">
        <w:rPr>
          <w:i/>
        </w:rPr>
        <w:t>]</w:t>
      </w:r>
    </w:p>
    <w:p w14:paraId="0598ABE8" w14:textId="77777777" w:rsidR="00FE3310" w:rsidRPr="00FE3310" w:rsidRDefault="00FE3310" w:rsidP="00FE3310">
      <w:pPr>
        <w:ind w:left="720"/>
        <w:contextualSpacing/>
        <w:jc w:val="both"/>
        <w:rPr>
          <w:i/>
        </w:rPr>
      </w:pPr>
    </w:p>
    <w:p w14:paraId="4D078958" w14:textId="77777777" w:rsidR="00FE3310" w:rsidRPr="00FE3310" w:rsidRDefault="00FE3310" w:rsidP="00FE3310">
      <w:pPr>
        <w:numPr>
          <w:ilvl w:val="0"/>
          <w:numId w:val="8"/>
        </w:numPr>
        <w:jc w:val="both"/>
        <w:rPr>
          <w:rFonts w:ascii="Arial" w:hAnsi="Arial"/>
        </w:rPr>
      </w:pPr>
      <w:r w:rsidRPr="00FE3310">
        <w:rPr>
          <w:b/>
          <w:szCs w:val="24"/>
        </w:rPr>
        <w:t>Ensure that even pupils from a low socio-economic background who might not be receiving adequate nutrition at home can have access to iron-rich foods at school;</w:t>
      </w:r>
      <w:r w:rsidRPr="00FE3310">
        <w:rPr>
          <w:szCs w:val="24"/>
        </w:rPr>
        <w:t xml:space="preserve"> these efforts can be supported through appropriate actions </w:t>
      </w:r>
      <w:proofErr w:type="spellStart"/>
      <w:r w:rsidRPr="00FE3310">
        <w:rPr>
          <w:szCs w:val="24"/>
        </w:rPr>
        <w:t>organised</w:t>
      </w:r>
      <w:proofErr w:type="spellEnd"/>
      <w:r w:rsidRPr="00FE3310">
        <w:rPr>
          <w:szCs w:val="24"/>
        </w:rPr>
        <w:t xml:space="preserve"> by parents’ associations.</w:t>
      </w:r>
    </w:p>
    <w:p w14:paraId="352CD94C" w14:textId="77777777" w:rsidR="00FE3310" w:rsidRPr="00FE3310" w:rsidRDefault="00FE3310" w:rsidP="00FE3310">
      <w:pPr>
        <w:keepNext/>
        <w:spacing w:before="240"/>
        <w:ind w:left="720"/>
        <w:jc w:val="both"/>
        <w:outlineLvl w:val="2"/>
        <w:rPr>
          <w:rFonts w:eastAsia="Times New Roman" w:cs="Times New Roman"/>
          <w:i/>
          <w:szCs w:val="24"/>
          <w:lang w:eastAsia="el-GR"/>
        </w:rPr>
      </w:pPr>
      <w:r w:rsidRPr="00FE3310">
        <w:rPr>
          <w:rFonts w:eastAsia="Times New Roman" w:cs="Times New Roman"/>
          <w:i/>
          <w:szCs w:val="24"/>
          <w:lang w:eastAsia="el-GR"/>
        </w:rPr>
        <w:t>[Reference: Kim, J. Y., Shin, S., Han, K., Lee, K. C., Kim, J. H., Choi, Y. S</w:t>
      </w:r>
      <w:proofErr w:type="gramStart"/>
      <w:r w:rsidRPr="00FE3310">
        <w:rPr>
          <w:rFonts w:eastAsia="Times New Roman" w:cs="Times New Roman"/>
          <w:i/>
          <w:szCs w:val="24"/>
          <w:lang w:eastAsia="el-GR"/>
        </w:rPr>
        <w:t>., ...</w:t>
      </w:r>
      <w:proofErr w:type="gramEnd"/>
      <w:r w:rsidRPr="00FE3310">
        <w:rPr>
          <w:rFonts w:eastAsia="Times New Roman" w:cs="Times New Roman"/>
          <w:i/>
          <w:szCs w:val="24"/>
          <w:lang w:eastAsia="el-GR"/>
        </w:rPr>
        <w:t xml:space="preserve"> &amp; </w:t>
      </w:r>
      <w:proofErr w:type="spellStart"/>
      <w:r w:rsidRPr="00FE3310">
        <w:rPr>
          <w:rFonts w:eastAsia="Times New Roman" w:cs="Times New Roman"/>
          <w:i/>
          <w:szCs w:val="24"/>
          <w:lang w:eastAsia="el-GR"/>
        </w:rPr>
        <w:t>Ko</w:t>
      </w:r>
      <w:proofErr w:type="spellEnd"/>
      <w:r w:rsidRPr="00FE3310">
        <w:rPr>
          <w:rFonts w:eastAsia="Times New Roman" w:cs="Times New Roman"/>
          <w:i/>
          <w:szCs w:val="24"/>
          <w:lang w:eastAsia="el-GR"/>
        </w:rPr>
        <w:t xml:space="preserve">, B. J. (2014). Relationship between socioeconomic status and anemia prevalence in adolescent girls based on the fourth and fifth Korea National Health and Nutrition Examination Surveys. </w:t>
      </w:r>
      <w:r w:rsidRPr="00FE3310">
        <w:rPr>
          <w:rFonts w:eastAsia="Times New Roman" w:cs="Times New Roman"/>
          <w:i/>
          <w:iCs/>
          <w:szCs w:val="24"/>
          <w:lang w:eastAsia="el-GR"/>
        </w:rPr>
        <w:t>European journal of clinical nutrition</w:t>
      </w:r>
      <w:r w:rsidRPr="00FE3310">
        <w:rPr>
          <w:rFonts w:eastAsia="Times New Roman" w:cs="Times New Roman"/>
          <w:i/>
          <w:szCs w:val="24"/>
          <w:lang w:eastAsia="el-GR"/>
        </w:rPr>
        <w:t xml:space="preserve">, </w:t>
      </w:r>
      <w:r w:rsidRPr="00FE3310">
        <w:rPr>
          <w:rFonts w:eastAsia="Times New Roman" w:cs="Times New Roman"/>
          <w:i/>
          <w:iCs/>
          <w:szCs w:val="24"/>
          <w:lang w:eastAsia="el-GR"/>
        </w:rPr>
        <w:t>68</w:t>
      </w:r>
      <w:r w:rsidRPr="00FE3310">
        <w:rPr>
          <w:rFonts w:eastAsia="Times New Roman" w:cs="Times New Roman"/>
          <w:i/>
          <w:szCs w:val="24"/>
          <w:lang w:eastAsia="el-GR"/>
        </w:rPr>
        <w:t>(2), 253-258.]</w:t>
      </w:r>
    </w:p>
    <w:p w14:paraId="14991AC5" w14:textId="77777777" w:rsidR="00FE3310" w:rsidRPr="00FE3310" w:rsidRDefault="00FE3310" w:rsidP="00FE3310">
      <w:pPr>
        <w:jc w:val="both"/>
        <w:rPr>
          <w:i/>
          <w:sz w:val="24"/>
          <w:szCs w:val="24"/>
        </w:rPr>
      </w:pPr>
    </w:p>
    <w:p w14:paraId="50A4A918" w14:textId="77777777" w:rsidR="00FE3310" w:rsidRPr="00FE3310" w:rsidRDefault="00FE3310" w:rsidP="00FE3310">
      <w:pPr>
        <w:jc w:val="both"/>
        <w:outlineLvl w:val="2"/>
        <w:rPr>
          <w:b/>
          <w:color w:val="2E3B42" w:themeColor="accent2"/>
          <w:sz w:val="28"/>
          <w:szCs w:val="28"/>
          <w:lang w:val="en-GB"/>
        </w:rPr>
      </w:pPr>
      <w:r w:rsidRPr="00FE3310">
        <w:rPr>
          <w:b/>
          <w:color w:val="2E3B42" w:themeColor="accent2"/>
          <w:sz w:val="28"/>
          <w:szCs w:val="28"/>
          <w:lang w:val="en-GB"/>
        </w:rPr>
        <w:t>Other (School Health Checks)</w:t>
      </w:r>
    </w:p>
    <w:p w14:paraId="57F7DA07" w14:textId="77777777" w:rsidR="00FE3310" w:rsidRPr="00FE3310" w:rsidRDefault="00FE3310" w:rsidP="00FE3310">
      <w:pPr>
        <w:jc w:val="both"/>
      </w:pPr>
    </w:p>
    <w:p w14:paraId="5A74365A" w14:textId="77777777" w:rsidR="00FE3310" w:rsidRPr="00FE3310" w:rsidRDefault="00FE3310" w:rsidP="00FE3310">
      <w:pPr>
        <w:ind w:left="720"/>
        <w:jc w:val="both"/>
        <w:rPr>
          <w:sz w:val="24"/>
          <w:szCs w:val="24"/>
        </w:rPr>
      </w:pPr>
      <w:r w:rsidRPr="00FE3310">
        <w:rPr>
          <w:b/>
        </w:rPr>
        <w:t xml:space="preserve">Have a heart rate monitor available for use in physical education classes and other physical activities, </w:t>
      </w:r>
      <w:r w:rsidRPr="00FE3310">
        <w:t>as pupils with anemia may experience an unusually rapid heart rate.</w:t>
      </w:r>
    </w:p>
    <w:p w14:paraId="3756058B" w14:textId="77777777" w:rsidR="00FE3310" w:rsidRPr="00FE3310" w:rsidRDefault="00FE3310" w:rsidP="00FE3310">
      <w:pPr>
        <w:ind w:left="720"/>
        <w:jc w:val="both"/>
        <w:rPr>
          <w:sz w:val="24"/>
          <w:szCs w:val="24"/>
        </w:rPr>
      </w:pPr>
      <w:r w:rsidRPr="00FE3310">
        <w:rPr>
          <w:i/>
        </w:rPr>
        <w:lastRenderedPageBreak/>
        <w:t xml:space="preserve">[Reference: </w:t>
      </w:r>
      <w:hyperlink r:id="rId15" w:history="1">
        <w:r w:rsidRPr="00FE3310">
          <w:rPr>
            <w:i/>
            <w:color w:val="74CEE0" w:themeColor="hyperlink"/>
            <w:u w:val="single"/>
          </w:rPr>
          <w:t>http://www.hopkinsmedicine.org/healthlibrary/conditions/hematology_and_blood_disorders/iron-deficiency_anemia_85,P00077/</w:t>
        </w:r>
      </w:hyperlink>
      <w:r w:rsidRPr="00FE3310">
        <w:rPr>
          <w:i/>
        </w:rPr>
        <w:t>]</w:t>
      </w:r>
    </w:p>
    <w:p w14:paraId="7A1F8015" w14:textId="77777777" w:rsidR="00FE3310" w:rsidRPr="00FE3310" w:rsidRDefault="00FE3310" w:rsidP="00FE3310">
      <w:pPr>
        <w:jc w:val="both"/>
        <w:outlineLvl w:val="2"/>
        <w:rPr>
          <w:b/>
          <w:color w:val="2E3B42" w:themeColor="accent2"/>
          <w:sz w:val="28"/>
          <w:szCs w:val="28"/>
          <w:lang w:val="en-GB"/>
        </w:rPr>
      </w:pPr>
    </w:p>
    <w:p w14:paraId="2581969F" w14:textId="77777777" w:rsidR="00FE3310" w:rsidRPr="00FE3310" w:rsidRDefault="00FE3310" w:rsidP="00FE3310">
      <w:pPr>
        <w:jc w:val="both"/>
        <w:outlineLvl w:val="2"/>
        <w:rPr>
          <w:b/>
          <w:color w:val="2E3B42" w:themeColor="accent2"/>
          <w:sz w:val="28"/>
          <w:szCs w:val="28"/>
          <w:lang w:val="en-GB"/>
        </w:rPr>
      </w:pPr>
      <w:r w:rsidRPr="00FE3310">
        <w:rPr>
          <w:b/>
          <w:color w:val="2E3B42" w:themeColor="accent2"/>
          <w:sz w:val="28"/>
          <w:szCs w:val="28"/>
          <w:lang w:val="en-GB"/>
        </w:rPr>
        <w:t>Parents / Parents’ Associations</w:t>
      </w:r>
    </w:p>
    <w:p w14:paraId="777C284D" w14:textId="77777777" w:rsidR="00FE3310" w:rsidRPr="00FE3310" w:rsidRDefault="00FE3310" w:rsidP="00FE3310">
      <w:pPr>
        <w:jc w:val="both"/>
        <w:rPr>
          <w:lang w:val="en-GB"/>
        </w:rPr>
      </w:pPr>
    </w:p>
    <w:p w14:paraId="71230A4E" w14:textId="77777777" w:rsidR="00FE3310" w:rsidRPr="00FE3310" w:rsidRDefault="00FE3310" w:rsidP="00FE3310">
      <w:pPr>
        <w:keepNext/>
        <w:numPr>
          <w:ilvl w:val="0"/>
          <w:numId w:val="9"/>
        </w:numPr>
        <w:contextualSpacing/>
        <w:jc w:val="both"/>
        <w:outlineLvl w:val="2"/>
        <w:rPr>
          <w:rFonts w:eastAsia="Times New Roman" w:cs="Times New Roman"/>
          <w:i/>
          <w:szCs w:val="24"/>
          <w:lang w:eastAsia="el-GR"/>
        </w:rPr>
      </w:pPr>
      <w:r w:rsidRPr="00FE3310">
        <w:rPr>
          <w:b/>
          <w:szCs w:val="24"/>
        </w:rPr>
        <w:t>Ensure that even pupils from a low socio-economic background who might not be receiving adequate nutrition at home can have access to iron-rich foods at school;</w:t>
      </w:r>
      <w:r w:rsidRPr="00FE3310">
        <w:rPr>
          <w:szCs w:val="24"/>
        </w:rPr>
        <w:t xml:space="preserve"> these efforts can be supported through appropriate actions </w:t>
      </w:r>
      <w:proofErr w:type="spellStart"/>
      <w:r w:rsidRPr="00FE3310">
        <w:rPr>
          <w:szCs w:val="24"/>
        </w:rPr>
        <w:t>organised</w:t>
      </w:r>
      <w:proofErr w:type="spellEnd"/>
      <w:r w:rsidRPr="00FE3310">
        <w:rPr>
          <w:szCs w:val="24"/>
        </w:rPr>
        <w:t xml:space="preserve"> by parents’ associations.</w:t>
      </w:r>
    </w:p>
    <w:p w14:paraId="684F47BF" w14:textId="77777777" w:rsidR="00FE3310" w:rsidRPr="00FE3310" w:rsidRDefault="00FE3310" w:rsidP="00FE3310">
      <w:pPr>
        <w:keepNext/>
        <w:spacing w:before="240"/>
        <w:ind w:left="426"/>
        <w:jc w:val="both"/>
        <w:outlineLvl w:val="2"/>
        <w:rPr>
          <w:rFonts w:eastAsia="Times New Roman" w:cs="Times New Roman"/>
          <w:i/>
          <w:szCs w:val="24"/>
          <w:lang w:eastAsia="el-GR"/>
        </w:rPr>
      </w:pPr>
      <w:r w:rsidRPr="00FE3310">
        <w:rPr>
          <w:rFonts w:eastAsia="Times New Roman" w:cs="Times New Roman"/>
          <w:i/>
          <w:szCs w:val="24"/>
          <w:lang w:eastAsia="el-GR"/>
        </w:rPr>
        <w:t xml:space="preserve">[Reference: Kim, J. Y., Shin, S., Han, K., Lee, K. C., Kim, J. H., Choi, Y. S. &amp; </w:t>
      </w:r>
      <w:proofErr w:type="spellStart"/>
      <w:r w:rsidRPr="00FE3310">
        <w:rPr>
          <w:rFonts w:eastAsia="Times New Roman" w:cs="Times New Roman"/>
          <w:i/>
          <w:szCs w:val="24"/>
          <w:lang w:eastAsia="el-GR"/>
        </w:rPr>
        <w:t>Ko</w:t>
      </w:r>
      <w:proofErr w:type="spellEnd"/>
      <w:r w:rsidRPr="00FE3310">
        <w:rPr>
          <w:rFonts w:eastAsia="Times New Roman" w:cs="Times New Roman"/>
          <w:i/>
          <w:szCs w:val="24"/>
          <w:lang w:eastAsia="el-GR"/>
        </w:rPr>
        <w:t xml:space="preserve">, B. J. (2014). Relationship between socioeconomic status and anemia prevalence in adolescent girls based on the fourth and fifth Korea National Health and Nutrition Examination Surveys. </w:t>
      </w:r>
      <w:r w:rsidRPr="00FE3310">
        <w:rPr>
          <w:rFonts w:eastAsia="Times New Roman" w:cs="Times New Roman"/>
          <w:i/>
          <w:iCs/>
          <w:szCs w:val="24"/>
          <w:lang w:eastAsia="el-GR"/>
        </w:rPr>
        <w:t>European journal of clinical nutrition</w:t>
      </w:r>
      <w:r w:rsidRPr="00FE3310">
        <w:rPr>
          <w:rFonts w:eastAsia="Times New Roman" w:cs="Times New Roman"/>
          <w:i/>
          <w:szCs w:val="24"/>
          <w:lang w:eastAsia="el-GR"/>
        </w:rPr>
        <w:t xml:space="preserve">, </w:t>
      </w:r>
      <w:r w:rsidRPr="00FE3310">
        <w:rPr>
          <w:rFonts w:eastAsia="Times New Roman" w:cs="Times New Roman"/>
          <w:i/>
          <w:iCs/>
          <w:szCs w:val="24"/>
          <w:lang w:eastAsia="el-GR"/>
        </w:rPr>
        <w:t>68</w:t>
      </w:r>
      <w:r w:rsidRPr="00FE3310">
        <w:rPr>
          <w:rFonts w:eastAsia="Times New Roman" w:cs="Times New Roman"/>
          <w:i/>
          <w:szCs w:val="24"/>
          <w:lang w:eastAsia="el-GR"/>
        </w:rPr>
        <w:t>(2), 253-258.]</w:t>
      </w:r>
    </w:p>
    <w:p w14:paraId="44805C81" w14:textId="77777777" w:rsidR="00FE3310" w:rsidRPr="00FE3310" w:rsidRDefault="00FE3310" w:rsidP="00FE3310">
      <w:pPr>
        <w:jc w:val="both"/>
        <w:rPr>
          <w:rFonts w:eastAsia="Times New Roman" w:cs="Times New Roman"/>
          <w:i/>
          <w:szCs w:val="24"/>
          <w:lang w:eastAsia="el-GR"/>
        </w:rPr>
      </w:pPr>
    </w:p>
    <w:p w14:paraId="0B698CD8" w14:textId="77777777" w:rsidR="00FE3310" w:rsidRPr="00FE3310" w:rsidRDefault="00FE3310" w:rsidP="00FE3310">
      <w:pPr>
        <w:numPr>
          <w:ilvl w:val="0"/>
          <w:numId w:val="9"/>
        </w:numPr>
        <w:contextualSpacing/>
        <w:jc w:val="both"/>
        <w:rPr>
          <w:rFonts w:eastAsia="Times New Roman" w:cs="Times New Roman"/>
          <w:i/>
          <w:szCs w:val="24"/>
          <w:lang w:eastAsia="el-GR"/>
        </w:rPr>
      </w:pPr>
      <w:r w:rsidRPr="00FE3310">
        <w:rPr>
          <w:b/>
        </w:rPr>
        <w:t>Discuss with the parents the special requirements of the pupil</w:t>
      </w:r>
      <w:r w:rsidRPr="00FE3310">
        <w:t xml:space="preserve"> with anemia such as    medication and nutritional needs. </w:t>
      </w:r>
    </w:p>
    <w:p w14:paraId="6B4CF4FC" w14:textId="77777777" w:rsidR="00FE3310" w:rsidRPr="00FE3310" w:rsidRDefault="00FE3310" w:rsidP="00FE3310">
      <w:pPr>
        <w:ind w:left="720"/>
        <w:contextualSpacing/>
        <w:jc w:val="both"/>
        <w:rPr>
          <w:rFonts w:eastAsia="Times New Roman" w:cs="Times New Roman"/>
          <w:i/>
          <w:szCs w:val="24"/>
          <w:lang w:eastAsia="el-GR"/>
        </w:rPr>
      </w:pPr>
    </w:p>
    <w:p w14:paraId="025F626F" w14:textId="77777777" w:rsidR="00FE3310" w:rsidRPr="00FE3310" w:rsidRDefault="00FE3310" w:rsidP="00FE3310">
      <w:pPr>
        <w:ind w:firstLine="360"/>
        <w:jc w:val="both"/>
        <w:rPr>
          <w:i/>
        </w:rPr>
      </w:pPr>
      <w:r w:rsidRPr="00FE3310">
        <w:rPr>
          <w:i/>
        </w:rPr>
        <w:t xml:space="preserve">[Reference: Mayo Clinic: </w:t>
      </w:r>
      <w:hyperlink r:id="rId16" w:history="1">
        <w:r w:rsidRPr="00FE3310">
          <w:rPr>
            <w:i/>
            <w:color w:val="74CEE0" w:themeColor="hyperlink"/>
            <w:u w:val="single"/>
          </w:rPr>
          <w:t>www.mayoclinic.org</w:t>
        </w:r>
      </w:hyperlink>
      <w:r w:rsidRPr="00FE3310">
        <w:rPr>
          <w:i/>
        </w:rPr>
        <w:t>]</w:t>
      </w:r>
    </w:p>
    <w:p w14:paraId="204FEB9B" w14:textId="77777777" w:rsidR="00FE3310" w:rsidRPr="00FE3310" w:rsidRDefault="00FE3310" w:rsidP="00FE3310">
      <w:pPr>
        <w:ind w:left="720"/>
        <w:contextualSpacing/>
        <w:jc w:val="both"/>
        <w:rPr>
          <w:i/>
        </w:rPr>
      </w:pPr>
    </w:p>
    <w:p w14:paraId="350E6464" w14:textId="77777777" w:rsidR="00FE3310" w:rsidRPr="00FE3310" w:rsidRDefault="00FE3310" w:rsidP="00FE3310">
      <w:pPr>
        <w:jc w:val="both"/>
        <w:outlineLvl w:val="2"/>
        <w:rPr>
          <w:b/>
          <w:color w:val="2E3B42" w:themeColor="accent2"/>
          <w:sz w:val="28"/>
          <w:szCs w:val="28"/>
          <w:lang w:val="en-GB"/>
        </w:rPr>
      </w:pPr>
      <w:r w:rsidRPr="00FE3310">
        <w:rPr>
          <w:b/>
          <w:color w:val="2E3B42" w:themeColor="accent2"/>
          <w:sz w:val="28"/>
          <w:szCs w:val="28"/>
          <w:lang w:val="en-GB"/>
        </w:rPr>
        <w:t>Safety</w:t>
      </w:r>
    </w:p>
    <w:p w14:paraId="042E1AF6" w14:textId="77777777" w:rsidR="00FE3310" w:rsidRPr="00FE3310" w:rsidRDefault="00FE3310" w:rsidP="00FE3310">
      <w:pPr>
        <w:jc w:val="both"/>
      </w:pPr>
    </w:p>
    <w:p w14:paraId="77CCFF8B" w14:textId="77777777" w:rsidR="00FE3310" w:rsidRPr="00FE3310" w:rsidRDefault="00FE3310" w:rsidP="00FE3310">
      <w:pPr>
        <w:numPr>
          <w:ilvl w:val="0"/>
          <w:numId w:val="10"/>
        </w:numPr>
        <w:contextualSpacing/>
        <w:jc w:val="both"/>
        <w:rPr>
          <w:rFonts w:ascii="Arial" w:hAnsi="Arial"/>
        </w:rPr>
      </w:pPr>
      <w:r w:rsidRPr="00FE3310">
        <w:t xml:space="preserve">Ensure that even pupils from a low socio-economic background who might not be receiving adequate nutrition at home can have access to iron-rich foods at school; these efforts can be supported through appropriate actions </w:t>
      </w:r>
      <w:proofErr w:type="spellStart"/>
      <w:r w:rsidRPr="00FE3310">
        <w:t>organised</w:t>
      </w:r>
      <w:proofErr w:type="spellEnd"/>
      <w:r w:rsidRPr="00FE3310">
        <w:t xml:space="preserve"> by parents’ associations.</w:t>
      </w:r>
    </w:p>
    <w:p w14:paraId="0E746FD6" w14:textId="77777777" w:rsidR="00FE3310" w:rsidRPr="00FE3310" w:rsidRDefault="00FE3310" w:rsidP="00FE3310">
      <w:pPr>
        <w:ind w:left="720"/>
        <w:jc w:val="both"/>
        <w:rPr>
          <w:rFonts w:ascii="Arial" w:hAnsi="Arial"/>
        </w:rPr>
      </w:pPr>
    </w:p>
    <w:p w14:paraId="23F30D6E" w14:textId="77777777" w:rsidR="00FE3310" w:rsidRPr="00FE3310" w:rsidRDefault="00FE3310" w:rsidP="00FE3310">
      <w:pPr>
        <w:keepNext/>
        <w:ind w:left="720"/>
        <w:jc w:val="both"/>
        <w:outlineLvl w:val="2"/>
        <w:rPr>
          <w:rFonts w:eastAsia="Times New Roman" w:cs="Times New Roman"/>
          <w:i/>
          <w:szCs w:val="24"/>
          <w:lang w:eastAsia="el-GR"/>
        </w:rPr>
      </w:pPr>
      <w:r w:rsidRPr="00FE3310">
        <w:rPr>
          <w:rFonts w:eastAsia="Times New Roman" w:cs="Times New Roman"/>
          <w:i/>
          <w:szCs w:val="24"/>
          <w:lang w:eastAsia="el-GR"/>
        </w:rPr>
        <w:t>[Reference: Kim, J. Y., Shin, S., Han, K., Lee, K. C., Kim, J. H., Choi, Y. S</w:t>
      </w:r>
      <w:proofErr w:type="gramStart"/>
      <w:r w:rsidRPr="00FE3310">
        <w:rPr>
          <w:rFonts w:eastAsia="Times New Roman" w:cs="Times New Roman"/>
          <w:i/>
          <w:szCs w:val="24"/>
          <w:lang w:eastAsia="el-GR"/>
        </w:rPr>
        <w:t>., ...</w:t>
      </w:r>
      <w:proofErr w:type="gramEnd"/>
      <w:r w:rsidRPr="00FE3310">
        <w:rPr>
          <w:rFonts w:eastAsia="Times New Roman" w:cs="Times New Roman"/>
          <w:i/>
          <w:szCs w:val="24"/>
          <w:lang w:eastAsia="el-GR"/>
        </w:rPr>
        <w:t xml:space="preserve"> &amp; </w:t>
      </w:r>
      <w:proofErr w:type="spellStart"/>
      <w:r w:rsidRPr="00FE3310">
        <w:rPr>
          <w:rFonts w:eastAsia="Times New Roman" w:cs="Times New Roman"/>
          <w:i/>
          <w:szCs w:val="24"/>
          <w:lang w:eastAsia="el-GR"/>
        </w:rPr>
        <w:t>Ko</w:t>
      </w:r>
      <w:proofErr w:type="spellEnd"/>
      <w:r w:rsidRPr="00FE3310">
        <w:rPr>
          <w:rFonts w:eastAsia="Times New Roman" w:cs="Times New Roman"/>
          <w:i/>
          <w:szCs w:val="24"/>
          <w:lang w:eastAsia="el-GR"/>
        </w:rPr>
        <w:t xml:space="preserve">, B. J. (2014). Relationship between socioeconomic status and anemia prevalence in adolescent girls based on the fourth and fifth Korea National Health and Nutrition Examination Surveys. </w:t>
      </w:r>
      <w:r w:rsidRPr="00FE3310">
        <w:rPr>
          <w:rFonts w:eastAsia="Times New Roman" w:cs="Times New Roman"/>
          <w:i/>
          <w:iCs/>
          <w:szCs w:val="24"/>
          <w:lang w:eastAsia="el-GR"/>
        </w:rPr>
        <w:t>European journal of clinical nutrition</w:t>
      </w:r>
      <w:r w:rsidRPr="00FE3310">
        <w:rPr>
          <w:rFonts w:eastAsia="Times New Roman" w:cs="Times New Roman"/>
          <w:i/>
          <w:szCs w:val="24"/>
          <w:lang w:eastAsia="el-GR"/>
        </w:rPr>
        <w:t xml:space="preserve">, </w:t>
      </w:r>
      <w:r w:rsidRPr="00FE3310">
        <w:rPr>
          <w:rFonts w:eastAsia="Times New Roman" w:cs="Times New Roman"/>
          <w:i/>
          <w:iCs/>
          <w:szCs w:val="24"/>
          <w:lang w:eastAsia="el-GR"/>
        </w:rPr>
        <w:t>68</w:t>
      </w:r>
      <w:r w:rsidRPr="00FE3310">
        <w:rPr>
          <w:rFonts w:eastAsia="Times New Roman" w:cs="Times New Roman"/>
          <w:i/>
          <w:szCs w:val="24"/>
          <w:lang w:eastAsia="el-GR"/>
        </w:rPr>
        <w:t>(2), 253-258.]</w:t>
      </w:r>
    </w:p>
    <w:p w14:paraId="3E5700A4" w14:textId="77777777" w:rsidR="00FE3310" w:rsidRPr="00FE3310" w:rsidRDefault="00FE3310" w:rsidP="00FE3310">
      <w:pPr>
        <w:keepNext/>
        <w:ind w:left="360"/>
        <w:jc w:val="both"/>
        <w:outlineLvl w:val="2"/>
        <w:rPr>
          <w:rFonts w:eastAsia="Times New Roman" w:cs="Times New Roman"/>
          <w:i/>
          <w:szCs w:val="24"/>
          <w:lang w:eastAsia="el-GR"/>
        </w:rPr>
      </w:pPr>
    </w:p>
    <w:p w14:paraId="2AC05897" w14:textId="77777777" w:rsidR="00FE3310" w:rsidRPr="00FE3310" w:rsidRDefault="00FE3310" w:rsidP="00FE3310">
      <w:pPr>
        <w:numPr>
          <w:ilvl w:val="0"/>
          <w:numId w:val="10"/>
        </w:numPr>
        <w:contextualSpacing/>
        <w:jc w:val="both"/>
        <w:rPr>
          <w:b/>
        </w:rPr>
      </w:pPr>
      <w:r w:rsidRPr="00FE3310">
        <w:rPr>
          <w:b/>
        </w:rPr>
        <w:t xml:space="preserve">Discuss with the parents the special requirements of the pupil with anemia such as medication and nutritional needs. </w:t>
      </w:r>
    </w:p>
    <w:p w14:paraId="3013577F" w14:textId="77777777" w:rsidR="00FE3310" w:rsidRPr="00FE3310" w:rsidRDefault="00FE3310" w:rsidP="00FE3310">
      <w:pPr>
        <w:ind w:left="720"/>
        <w:contextualSpacing/>
        <w:jc w:val="both"/>
        <w:rPr>
          <w:b/>
        </w:rPr>
      </w:pPr>
    </w:p>
    <w:p w14:paraId="71107747" w14:textId="77777777" w:rsidR="00FE3310" w:rsidRPr="00FE3310" w:rsidRDefault="00FE3310" w:rsidP="00FE3310">
      <w:pPr>
        <w:ind w:left="720"/>
        <w:contextualSpacing/>
        <w:jc w:val="both"/>
        <w:rPr>
          <w:i/>
        </w:rPr>
      </w:pPr>
      <w:r w:rsidRPr="00FE3310">
        <w:rPr>
          <w:i/>
        </w:rPr>
        <w:t xml:space="preserve">[Reference: Mayo Clinic: </w:t>
      </w:r>
      <w:hyperlink r:id="rId17" w:history="1">
        <w:r w:rsidRPr="00FE3310">
          <w:rPr>
            <w:i/>
            <w:color w:val="74CEE0" w:themeColor="hyperlink"/>
            <w:u w:val="single"/>
          </w:rPr>
          <w:t>www.mayoclinic.org</w:t>
        </w:r>
      </w:hyperlink>
      <w:r w:rsidRPr="00FE3310">
        <w:rPr>
          <w:i/>
        </w:rPr>
        <w:t>]</w:t>
      </w:r>
    </w:p>
    <w:p w14:paraId="1FBCDE53" w14:textId="77777777" w:rsidR="00FE3310" w:rsidRPr="00FE3310" w:rsidRDefault="00FE3310" w:rsidP="00FE3310">
      <w:pPr>
        <w:ind w:left="720"/>
        <w:contextualSpacing/>
        <w:jc w:val="both"/>
        <w:rPr>
          <w:i/>
        </w:rPr>
      </w:pPr>
    </w:p>
    <w:p w14:paraId="2BA9CFA0" w14:textId="77777777" w:rsidR="00FE3310" w:rsidRPr="00FE3310" w:rsidRDefault="00FE3310" w:rsidP="00FE3310">
      <w:pPr>
        <w:numPr>
          <w:ilvl w:val="0"/>
          <w:numId w:val="10"/>
        </w:numPr>
        <w:contextualSpacing/>
        <w:jc w:val="both"/>
        <w:rPr>
          <w:sz w:val="24"/>
          <w:szCs w:val="24"/>
        </w:rPr>
      </w:pPr>
      <w:r w:rsidRPr="00FE3310">
        <w:rPr>
          <w:b/>
        </w:rPr>
        <w:t xml:space="preserve">Have a heart rate monitor available for use in physical education classes and other physical activities, </w:t>
      </w:r>
      <w:r w:rsidRPr="00FE3310">
        <w:t>as pupils with anemia may experience an unusually rapid heart rate.</w:t>
      </w:r>
    </w:p>
    <w:p w14:paraId="2C8EECD1" w14:textId="77777777" w:rsidR="00FE3310" w:rsidRPr="00FE3310" w:rsidRDefault="00FE3310" w:rsidP="00FE3310">
      <w:pPr>
        <w:ind w:left="720"/>
        <w:contextualSpacing/>
        <w:jc w:val="both"/>
        <w:rPr>
          <w:sz w:val="24"/>
          <w:szCs w:val="24"/>
        </w:rPr>
      </w:pPr>
    </w:p>
    <w:p w14:paraId="021FD08B" w14:textId="77777777" w:rsidR="00FE3310" w:rsidRPr="00FE3310" w:rsidRDefault="00FE3310" w:rsidP="00FE3310">
      <w:pPr>
        <w:ind w:left="720"/>
        <w:jc w:val="both"/>
        <w:rPr>
          <w:sz w:val="24"/>
          <w:szCs w:val="24"/>
        </w:rPr>
      </w:pPr>
      <w:r w:rsidRPr="00FE3310">
        <w:rPr>
          <w:i/>
        </w:rPr>
        <w:t xml:space="preserve">[Reference: </w:t>
      </w:r>
      <w:hyperlink r:id="rId18" w:history="1">
        <w:r w:rsidRPr="00FE3310">
          <w:rPr>
            <w:rFonts w:ascii="Arial" w:hAnsi="Arial"/>
            <w:i/>
            <w:color w:val="74CEE0" w:themeColor="hyperlink"/>
            <w:u w:val="single"/>
          </w:rPr>
          <w:t>http://www.hopkinsmedicine.org/healthlibrary/conditions/hematology_and_blood_disorders/iron-deficiency_anemia_85,P00077/</w:t>
        </w:r>
      </w:hyperlink>
      <w:r w:rsidRPr="00FE3310">
        <w:rPr>
          <w:i/>
        </w:rPr>
        <w:t>]</w:t>
      </w:r>
    </w:p>
    <w:p w14:paraId="199003F8" w14:textId="77777777" w:rsidR="00FE3310" w:rsidRPr="00FE3310" w:rsidRDefault="00FE3310" w:rsidP="00FE3310">
      <w:pPr>
        <w:ind w:left="720"/>
        <w:jc w:val="both"/>
        <w:rPr>
          <w:sz w:val="24"/>
          <w:szCs w:val="24"/>
        </w:rPr>
      </w:pPr>
    </w:p>
    <w:p w14:paraId="44F4FFA9" w14:textId="77777777" w:rsidR="00FE3310" w:rsidRPr="00FE3310" w:rsidRDefault="00FE3310" w:rsidP="00FE3310">
      <w:pPr>
        <w:jc w:val="both"/>
        <w:outlineLvl w:val="2"/>
        <w:rPr>
          <w:b/>
          <w:color w:val="2E3B42" w:themeColor="accent2"/>
          <w:sz w:val="28"/>
          <w:szCs w:val="28"/>
          <w:lang w:val="en-GB"/>
        </w:rPr>
      </w:pPr>
      <w:r w:rsidRPr="00FE3310">
        <w:rPr>
          <w:b/>
          <w:color w:val="2E3B42" w:themeColor="accent2"/>
          <w:sz w:val="28"/>
          <w:szCs w:val="28"/>
          <w:lang w:val="en-GB"/>
        </w:rPr>
        <w:t>Pupil Support</w:t>
      </w:r>
    </w:p>
    <w:p w14:paraId="0600DA94" w14:textId="77777777" w:rsidR="00FE3310" w:rsidRPr="00FE3310" w:rsidRDefault="00FE3310" w:rsidP="00FE3310">
      <w:pPr>
        <w:jc w:val="both"/>
      </w:pPr>
    </w:p>
    <w:p w14:paraId="69CE0D9F" w14:textId="77777777" w:rsidR="00FE3310" w:rsidRPr="00FE3310" w:rsidRDefault="00FE3310" w:rsidP="00FE3310">
      <w:pPr>
        <w:ind w:left="720"/>
        <w:jc w:val="both"/>
        <w:rPr>
          <w:rFonts w:ascii="Arial" w:hAnsi="Arial"/>
        </w:rPr>
      </w:pPr>
      <w:r w:rsidRPr="00FE3310">
        <w:rPr>
          <w:b/>
          <w:szCs w:val="24"/>
        </w:rPr>
        <w:t>Ensure that even pupils from a low socio-economic background who might not be receiving adequate nutrition at home can have access to iron-rich foods at school;</w:t>
      </w:r>
      <w:r w:rsidRPr="00FE3310">
        <w:rPr>
          <w:szCs w:val="24"/>
        </w:rPr>
        <w:t xml:space="preserve"> these efforts can be supported through appropriate actions </w:t>
      </w:r>
      <w:proofErr w:type="spellStart"/>
      <w:r w:rsidRPr="00FE3310">
        <w:rPr>
          <w:szCs w:val="24"/>
        </w:rPr>
        <w:t>organised</w:t>
      </w:r>
      <w:proofErr w:type="spellEnd"/>
      <w:r w:rsidRPr="00FE3310">
        <w:rPr>
          <w:szCs w:val="24"/>
        </w:rPr>
        <w:t xml:space="preserve"> by parents’ associations.</w:t>
      </w:r>
    </w:p>
    <w:p w14:paraId="20ED6CE6" w14:textId="77777777" w:rsidR="00FE3310" w:rsidRPr="00FE3310" w:rsidRDefault="00FE3310" w:rsidP="00FE3310">
      <w:pPr>
        <w:keepNext/>
        <w:spacing w:before="240"/>
        <w:ind w:left="720"/>
        <w:jc w:val="both"/>
        <w:outlineLvl w:val="2"/>
        <w:rPr>
          <w:rFonts w:eastAsia="Times New Roman" w:cs="Times New Roman"/>
          <w:i/>
          <w:szCs w:val="24"/>
          <w:lang w:eastAsia="el-GR"/>
        </w:rPr>
      </w:pPr>
      <w:r w:rsidRPr="00FE3310">
        <w:rPr>
          <w:rFonts w:eastAsia="Times New Roman" w:cs="Times New Roman"/>
          <w:i/>
          <w:szCs w:val="24"/>
          <w:lang w:eastAsia="el-GR"/>
        </w:rPr>
        <w:lastRenderedPageBreak/>
        <w:t>[Reference: Kim, J. Y., Shin, S., Han, K., Lee, K. C., Kim, J. H., Choi, Y. S</w:t>
      </w:r>
      <w:proofErr w:type="gramStart"/>
      <w:r w:rsidRPr="00FE3310">
        <w:rPr>
          <w:rFonts w:eastAsia="Times New Roman" w:cs="Times New Roman"/>
          <w:i/>
          <w:szCs w:val="24"/>
          <w:lang w:eastAsia="el-GR"/>
        </w:rPr>
        <w:t>., ...</w:t>
      </w:r>
      <w:proofErr w:type="gramEnd"/>
      <w:r w:rsidRPr="00FE3310">
        <w:rPr>
          <w:rFonts w:eastAsia="Times New Roman" w:cs="Times New Roman"/>
          <w:i/>
          <w:szCs w:val="24"/>
          <w:lang w:eastAsia="el-GR"/>
        </w:rPr>
        <w:t xml:space="preserve"> &amp; </w:t>
      </w:r>
      <w:proofErr w:type="spellStart"/>
      <w:r w:rsidRPr="00FE3310">
        <w:rPr>
          <w:rFonts w:eastAsia="Times New Roman" w:cs="Times New Roman"/>
          <w:i/>
          <w:szCs w:val="24"/>
          <w:lang w:eastAsia="el-GR"/>
        </w:rPr>
        <w:t>Ko</w:t>
      </w:r>
      <w:proofErr w:type="spellEnd"/>
      <w:r w:rsidRPr="00FE3310">
        <w:rPr>
          <w:rFonts w:eastAsia="Times New Roman" w:cs="Times New Roman"/>
          <w:i/>
          <w:szCs w:val="24"/>
          <w:lang w:eastAsia="el-GR"/>
        </w:rPr>
        <w:t xml:space="preserve">, B. J. (2014). Relationship between socioeconomic status and anemia prevalence in adolescent girls based on the fourth and fifth Korea National Health and Nutrition Examination Surveys. </w:t>
      </w:r>
      <w:r w:rsidRPr="00FE3310">
        <w:rPr>
          <w:rFonts w:eastAsia="Times New Roman" w:cs="Times New Roman"/>
          <w:i/>
          <w:iCs/>
          <w:szCs w:val="24"/>
          <w:lang w:eastAsia="el-GR"/>
        </w:rPr>
        <w:t>European journal of clinical nutrition</w:t>
      </w:r>
      <w:r w:rsidRPr="00FE3310">
        <w:rPr>
          <w:rFonts w:eastAsia="Times New Roman" w:cs="Times New Roman"/>
          <w:i/>
          <w:szCs w:val="24"/>
          <w:lang w:eastAsia="el-GR"/>
        </w:rPr>
        <w:t xml:space="preserve">, </w:t>
      </w:r>
      <w:r w:rsidRPr="00FE3310">
        <w:rPr>
          <w:rFonts w:eastAsia="Times New Roman" w:cs="Times New Roman"/>
          <w:i/>
          <w:iCs/>
          <w:szCs w:val="24"/>
          <w:lang w:eastAsia="el-GR"/>
        </w:rPr>
        <w:t>68</w:t>
      </w:r>
      <w:r w:rsidRPr="00FE3310">
        <w:rPr>
          <w:rFonts w:eastAsia="Times New Roman" w:cs="Times New Roman"/>
          <w:i/>
          <w:szCs w:val="24"/>
          <w:lang w:eastAsia="el-GR"/>
        </w:rPr>
        <w:t>(2), 253-258.]</w:t>
      </w:r>
    </w:p>
    <w:p w14:paraId="4F7768C1" w14:textId="77777777" w:rsidR="00FE3310" w:rsidRPr="00FE3310" w:rsidRDefault="00FE3310" w:rsidP="00FE3310">
      <w:pPr>
        <w:jc w:val="both"/>
        <w:outlineLvl w:val="2"/>
        <w:rPr>
          <w:b/>
          <w:color w:val="2E3B42" w:themeColor="accent2"/>
          <w:sz w:val="28"/>
          <w:szCs w:val="28"/>
          <w:lang w:val="en-GB"/>
        </w:rPr>
      </w:pPr>
    </w:p>
    <w:p w14:paraId="32FA8C9B" w14:textId="77777777" w:rsidR="00FE3310" w:rsidRPr="00FE3310" w:rsidRDefault="00FE3310" w:rsidP="00FE3310">
      <w:pPr>
        <w:jc w:val="both"/>
        <w:outlineLvl w:val="2"/>
        <w:rPr>
          <w:b/>
          <w:color w:val="2E3B42" w:themeColor="accent2"/>
          <w:sz w:val="28"/>
          <w:szCs w:val="28"/>
          <w:lang w:val="en-GB"/>
        </w:rPr>
      </w:pPr>
      <w:r w:rsidRPr="00FE3310">
        <w:rPr>
          <w:b/>
          <w:color w:val="2E3B42" w:themeColor="accent2"/>
          <w:sz w:val="28"/>
          <w:szCs w:val="28"/>
          <w:lang w:val="en-GB"/>
        </w:rPr>
        <w:t>Technology</w:t>
      </w:r>
    </w:p>
    <w:p w14:paraId="50F0DDA4" w14:textId="77777777" w:rsidR="00FE3310" w:rsidRPr="00FE3310" w:rsidRDefault="00FE3310" w:rsidP="00FE3310">
      <w:pPr>
        <w:jc w:val="both"/>
      </w:pPr>
    </w:p>
    <w:p w14:paraId="4373B36C" w14:textId="77777777" w:rsidR="00FE3310" w:rsidRPr="00FE3310" w:rsidRDefault="00FE3310" w:rsidP="00FE3310">
      <w:pPr>
        <w:ind w:left="720"/>
        <w:jc w:val="both"/>
      </w:pPr>
      <w:r w:rsidRPr="00FE3310">
        <w:rPr>
          <w:b/>
        </w:rPr>
        <w:t xml:space="preserve">Have a heart rate monitor available for use in physical education classes and other physical activities, </w:t>
      </w:r>
      <w:r w:rsidRPr="00FE3310">
        <w:t>as pupils with anemia may experience an unusually rapid heart rate.</w:t>
      </w:r>
    </w:p>
    <w:p w14:paraId="48B6FDB7" w14:textId="77777777" w:rsidR="00FE3310" w:rsidRPr="00FE3310" w:rsidRDefault="00FE3310" w:rsidP="00FE3310">
      <w:pPr>
        <w:ind w:left="720"/>
        <w:jc w:val="both"/>
        <w:rPr>
          <w:sz w:val="24"/>
          <w:szCs w:val="24"/>
        </w:rPr>
      </w:pPr>
    </w:p>
    <w:p w14:paraId="2F303A43" w14:textId="77777777" w:rsidR="00FE3310" w:rsidRPr="00FE3310" w:rsidRDefault="00FE3310" w:rsidP="00FE3310">
      <w:pPr>
        <w:ind w:left="720"/>
        <w:jc w:val="both"/>
        <w:rPr>
          <w:i/>
        </w:rPr>
      </w:pPr>
      <w:r w:rsidRPr="00FE3310">
        <w:rPr>
          <w:i/>
        </w:rPr>
        <w:t xml:space="preserve">[Reference: </w:t>
      </w:r>
      <w:hyperlink r:id="rId19" w:history="1">
        <w:r w:rsidRPr="00FE3310">
          <w:rPr>
            <w:i/>
            <w:color w:val="74CEE0" w:themeColor="hyperlink"/>
            <w:u w:val="single"/>
          </w:rPr>
          <w:t>http://www.hopkinsmedicine.org/healthlibrary/conditions/hematology_and_blood_disorders/iron-deficiency_anemia_85,P00077/</w:t>
        </w:r>
      </w:hyperlink>
      <w:r w:rsidRPr="00FE3310">
        <w:rPr>
          <w:i/>
        </w:rPr>
        <w:t>]</w:t>
      </w:r>
    </w:p>
    <w:p w14:paraId="6837DB94" w14:textId="77777777" w:rsidR="00FE3310" w:rsidRPr="00FE3310" w:rsidRDefault="00FE3310" w:rsidP="00FE3310">
      <w:pPr>
        <w:ind w:left="720"/>
        <w:jc w:val="both"/>
        <w:rPr>
          <w:sz w:val="24"/>
          <w:szCs w:val="24"/>
        </w:rPr>
      </w:pPr>
    </w:p>
    <w:p w14:paraId="41EFA24B" w14:textId="77777777" w:rsidR="00FE3310" w:rsidRPr="00FE3310" w:rsidRDefault="00FE3310" w:rsidP="00FE3310">
      <w:pPr>
        <w:ind w:left="720"/>
        <w:jc w:val="both"/>
        <w:rPr>
          <w:sz w:val="24"/>
          <w:szCs w:val="24"/>
        </w:rPr>
      </w:pPr>
    </w:p>
    <w:p w14:paraId="2131F5CF" w14:textId="77777777" w:rsidR="00FE3310" w:rsidRPr="00FE3310" w:rsidRDefault="00FE3310" w:rsidP="00FE3310">
      <w:pPr>
        <w:jc w:val="both"/>
        <w:outlineLvl w:val="2"/>
        <w:rPr>
          <w:b/>
          <w:color w:val="2E3B42" w:themeColor="accent2"/>
          <w:sz w:val="28"/>
          <w:szCs w:val="28"/>
        </w:rPr>
      </w:pPr>
      <w:r w:rsidRPr="00FE3310">
        <w:rPr>
          <w:b/>
          <w:color w:val="2E3B42" w:themeColor="accent2"/>
          <w:sz w:val="28"/>
          <w:szCs w:val="28"/>
        </w:rPr>
        <w:t>Supportive literature</w:t>
      </w:r>
    </w:p>
    <w:p w14:paraId="14AFC285" w14:textId="77777777" w:rsidR="00FE3310" w:rsidRPr="00FE3310" w:rsidRDefault="00FE3310" w:rsidP="00FE3310">
      <w:pPr>
        <w:jc w:val="both"/>
      </w:pPr>
    </w:p>
    <w:p w14:paraId="35C62443" w14:textId="77777777" w:rsidR="00FE3310" w:rsidRPr="00FE3310" w:rsidRDefault="00FE3310" w:rsidP="00FE3310">
      <w:pPr>
        <w:jc w:val="both"/>
        <w:rPr>
          <w:b/>
          <w:szCs w:val="24"/>
        </w:rPr>
      </w:pPr>
      <w:r w:rsidRPr="00FE3310">
        <w:rPr>
          <w:b/>
          <w:szCs w:val="24"/>
        </w:rPr>
        <w:t>Definition of Anemia</w:t>
      </w:r>
    </w:p>
    <w:p w14:paraId="0D69DDCF" w14:textId="77777777" w:rsidR="00FE3310" w:rsidRPr="00FE3310" w:rsidRDefault="00FE3310" w:rsidP="00FE3310">
      <w:pPr>
        <w:jc w:val="both"/>
        <w:rPr>
          <w:bCs/>
          <w:noProof/>
          <w:szCs w:val="24"/>
          <w:lang w:eastAsia="el-GR"/>
        </w:rPr>
      </w:pPr>
      <w:r w:rsidRPr="00FE3310">
        <w:rPr>
          <w:szCs w:val="24"/>
        </w:rPr>
        <w:t xml:space="preserve">Anemia occurs when blood has a lower than normal number of red blood cells, or if red blood cells don’t have enough hemoglobin. Hemoglobin is a protein that gives blood its red color and helps those cells bring oxygen from your lungs to the rest of the body. If a person is anemic, the body simply doesn’t receive enough oxygen-rich blood, which makes the person feel tired and weak. </w:t>
      </w:r>
      <w:r w:rsidRPr="00FE3310">
        <w:rPr>
          <w:rFonts w:cs="Tahoma"/>
          <w:szCs w:val="24"/>
        </w:rPr>
        <w:t>Severe anemia can damage the heart, brain and other organs</w:t>
      </w:r>
      <w:r w:rsidRPr="00FE3310">
        <w:rPr>
          <w:szCs w:val="24"/>
        </w:rPr>
        <w:t xml:space="preserve"> in the body, and may even cause death. Overall, iron deficiency is the most common cause of anemia in the developed world (Sills et al, 2016). </w:t>
      </w:r>
      <w:r w:rsidRPr="00FE3310">
        <w:rPr>
          <w:bCs/>
          <w:noProof/>
          <w:szCs w:val="24"/>
          <w:lang w:eastAsia="el-GR"/>
        </w:rPr>
        <w:t xml:space="preserve">Iron deficiency needs to exist for a long time before anemia occurs. Iron deficiency is usually caught early by pediatricians in routine screening as it exhibits very peculiar symptoms such as nailbiting and the desire to chew on ice or soil (pica). In the Western world anemia could be the result of prolonged iron deficiency due to malnutrition as seen in anorexia nervosa. </w:t>
      </w:r>
    </w:p>
    <w:p w14:paraId="316EFBE8" w14:textId="77777777" w:rsidR="00FE3310" w:rsidRPr="00FE3310" w:rsidRDefault="00FE3310" w:rsidP="00FE3310">
      <w:pPr>
        <w:jc w:val="both"/>
      </w:pPr>
    </w:p>
    <w:p w14:paraId="09C2C57B" w14:textId="77777777" w:rsidR="00FE3310" w:rsidRPr="00FE3310" w:rsidRDefault="00FE3310" w:rsidP="00FE3310">
      <w:pPr>
        <w:jc w:val="both"/>
        <w:rPr>
          <w:b/>
          <w:szCs w:val="24"/>
        </w:rPr>
      </w:pPr>
      <w:r w:rsidRPr="00FE3310">
        <w:rPr>
          <w:b/>
          <w:szCs w:val="24"/>
        </w:rPr>
        <w:t>Symptoms of anemia</w:t>
      </w:r>
    </w:p>
    <w:p w14:paraId="101EBD21" w14:textId="77777777" w:rsidR="00FE3310" w:rsidRPr="00FE3310" w:rsidRDefault="00FE3310" w:rsidP="00FE3310">
      <w:pPr>
        <w:jc w:val="both"/>
      </w:pPr>
      <w:r w:rsidRPr="00FE3310">
        <w:rPr>
          <w:rFonts w:eastAsia="Times New Roman"/>
          <w:szCs w:val="24"/>
          <w:lang w:eastAsia="el-GR"/>
        </w:rPr>
        <w:t xml:space="preserve">Difficulty maintaining body temperature,  increased likelihood of infections fatigue, weakness, pale skin, fast or irregular heartbeat, shortness of breath, chest pain, dizziness, cognitive problems, cold hands and feet, headaches and </w:t>
      </w:r>
      <w:r w:rsidRPr="00FE3310">
        <w:rPr>
          <w:szCs w:val="24"/>
        </w:rPr>
        <w:t>irritability</w:t>
      </w:r>
      <w:r w:rsidRPr="00FE3310">
        <w:t>.</w:t>
      </w:r>
    </w:p>
    <w:p w14:paraId="064A4C5F" w14:textId="77777777" w:rsidR="00FE3310" w:rsidRPr="00FE3310" w:rsidRDefault="00FE3310" w:rsidP="00FE3310">
      <w:pPr>
        <w:jc w:val="both"/>
        <w:rPr>
          <w:rFonts w:eastAsia="Times New Roman"/>
          <w:szCs w:val="24"/>
          <w:lang w:eastAsia="el-GR"/>
        </w:rPr>
      </w:pPr>
    </w:p>
    <w:p w14:paraId="6B608085" w14:textId="77777777" w:rsidR="00FE3310" w:rsidRPr="00FE3310" w:rsidRDefault="00FE3310" w:rsidP="00FE3310">
      <w:pPr>
        <w:jc w:val="both"/>
        <w:rPr>
          <w:b/>
        </w:rPr>
      </w:pPr>
      <w:r w:rsidRPr="00FE3310">
        <w:rPr>
          <w:b/>
        </w:rPr>
        <w:t>At risk groups</w:t>
      </w:r>
    </w:p>
    <w:p w14:paraId="702F6E5E" w14:textId="77777777" w:rsidR="00FE3310" w:rsidRPr="00FE3310" w:rsidRDefault="00FE3310" w:rsidP="00FE3310">
      <w:pPr>
        <w:jc w:val="both"/>
        <w:rPr>
          <w:szCs w:val="24"/>
        </w:rPr>
      </w:pPr>
      <w:r w:rsidRPr="00FE3310">
        <w:rPr>
          <w:szCs w:val="24"/>
        </w:rPr>
        <w:t xml:space="preserve">According to the </w:t>
      </w:r>
      <w:r w:rsidRPr="00FE3310">
        <w:rPr>
          <w:b/>
          <w:bCs/>
          <w:szCs w:val="24"/>
        </w:rPr>
        <w:t xml:space="preserve">World Health </w:t>
      </w:r>
      <w:proofErr w:type="spellStart"/>
      <w:r w:rsidRPr="00FE3310">
        <w:rPr>
          <w:b/>
          <w:bCs/>
          <w:szCs w:val="24"/>
        </w:rPr>
        <w:t>Organisation</w:t>
      </w:r>
      <w:proofErr w:type="spellEnd"/>
      <w:r w:rsidRPr="00FE3310">
        <w:rPr>
          <w:b/>
          <w:bCs/>
          <w:szCs w:val="24"/>
        </w:rPr>
        <w:t xml:space="preserve"> (2004),</w:t>
      </w:r>
      <w:r w:rsidRPr="00FE3310">
        <w:rPr>
          <w:szCs w:val="24"/>
        </w:rPr>
        <w:t> children are particularly vulnerable to anemia and an estimated 53% of school-age children suffer from anemia globally. Adolescent girls are at higher risk of iron deficiency because their bodies lose iron during menstruation. Children who have certain health conditions, such as chronic infections or restricted diets, as well as children who are not receiving enough nutrition through their diet are also at higher risk of iron deficiency. Anemia has severe consequences on the cognitive and physical development of children, as indicated by poor school performance due to an inability to learn and concentrate (WHO, 2004).</w:t>
      </w:r>
    </w:p>
    <w:p w14:paraId="66A9F652" w14:textId="77777777" w:rsidR="00FE3310" w:rsidRPr="00FE3310" w:rsidRDefault="00FE3310" w:rsidP="00FE3310">
      <w:pPr>
        <w:jc w:val="both"/>
        <w:rPr>
          <w:szCs w:val="24"/>
        </w:rPr>
      </w:pPr>
    </w:p>
    <w:p w14:paraId="215B9077" w14:textId="77777777" w:rsidR="00FE3310" w:rsidRPr="00FE3310" w:rsidRDefault="00FE3310" w:rsidP="00FE3310">
      <w:pPr>
        <w:jc w:val="both"/>
        <w:rPr>
          <w:b/>
        </w:rPr>
      </w:pPr>
    </w:p>
    <w:p w14:paraId="50C1F58E" w14:textId="77777777" w:rsidR="00FE3310" w:rsidRPr="00FE3310" w:rsidRDefault="00FE3310" w:rsidP="00FE3310">
      <w:pPr>
        <w:jc w:val="both"/>
        <w:outlineLvl w:val="2"/>
        <w:rPr>
          <w:b/>
          <w:color w:val="2E3B42" w:themeColor="accent2"/>
          <w:sz w:val="28"/>
          <w:szCs w:val="28"/>
        </w:rPr>
      </w:pPr>
      <w:r w:rsidRPr="00FE3310">
        <w:rPr>
          <w:b/>
          <w:color w:val="2E3B42" w:themeColor="accent2"/>
          <w:sz w:val="28"/>
          <w:szCs w:val="28"/>
        </w:rPr>
        <w:t>Websites and EU Reports</w:t>
      </w:r>
    </w:p>
    <w:p w14:paraId="3BF617A3" w14:textId="77777777" w:rsidR="00FE3310" w:rsidRPr="00FE3310" w:rsidRDefault="00FE3310" w:rsidP="00FE3310">
      <w:pPr>
        <w:jc w:val="both"/>
      </w:pPr>
    </w:p>
    <w:p w14:paraId="6AF593E4" w14:textId="77777777" w:rsidR="00FE3310" w:rsidRPr="00FE3310" w:rsidRDefault="00FE3310" w:rsidP="00FE3310">
      <w:pPr>
        <w:jc w:val="both"/>
        <w:rPr>
          <w:szCs w:val="24"/>
        </w:rPr>
      </w:pPr>
      <w:r w:rsidRPr="00FE3310">
        <w:rPr>
          <w:szCs w:val="24"/>
        </w:rPr>
        <w:t>Schools and Health</w:t>
      </w:r>
    </w:p>
    <w:p w14:paraId="6A377D33" w14:textId="77777777" w:rsidR="00FE3310" w:rsidRPr="00FE3310" w:rsidRDefault="00FE3310" w:rsidP="00FE3310">
      <w:pPr>
        <w:jc w:val="both"/>
        <w:rPr>
          <w:szCs w:val="24"/>
        </w:rPr>
      </w:pPr>
      <w:hyperlink r:id="rId20" w:history="1">
        <w:r w:rsidRPr="00FE3310">
          <w:rPr>
            <w:color w:val="74CEE0" w:themeColor="hyperlink"/>
            <w:szCs w:val="24"/>
            <w:u w:val="single"/>
          </w:rPr>
          <w:t>http://www.schoolsandhealth.org/Pages/iron.aspx</w:t>
        </w:r>
      </w:hyperlink>
    </w:p>
    <w:p w14:paraId="6DCAF29A" w14:textId="77777777" w:rsidR="00FE3310" w:rsidRPr="00FE3310" w:rsidRDefault="00FE3310" w:rsidP="00FE3310">
      <w:pPr>
        <w:jc w:val="both"/>
        <w:rPr>
          <w:szCs w:val="24"/>
        </w:rPr>
      </w:pPr>
      <w:r w:rsidRPr="00FE3310">
        <w:rPr>
          <w:szCs w:val="24"/>
        </w:rPr>
        <w:lastRenderedPageBreak/>
        <w:t xml:space="preserve">Centre for Diseases Control </w:t>
      </w:r>
    </w:p>
    <w:p w14:paraId="1DC9FF6C" w14:textId="77777777" w:rsidR="00FE3310" w:rsidRPr="00FE3310" w:rsidRDefault="00FE3310" w:rsidP="00FE3310">
      <w:pPr>
        <w:jc w:val="both"/>
        <w:rPr>
          <w:color w:val="74CEE0" w:themeColor="hyperlink"/>
          <w:szCs w:val="24"/>
          <w:u w:val="single"/>
        </w:rPr>
      </w:pPr>
      <w:hyperlink r:id="rId21" w:history="1">
        <w:r w:rsidRPr="00FE3310">
          <w:rPr>
            <w:color w:val="74CEE0" w:themeColor="hyperlink"/>
            <w:szCs w:val="24"/>
            <w:u w:val="single"/>
          </w:rPr>
          <w:t>https://www.cdc.gov/mmwr/preview/mmwrhtml/00051880.htm</w:t>
        </w:r>
      </w:hyperlink>
    </w:p>
    <w:p w14:paraId="6958A747" w14:textId="77777777" w:rsidR="00FE3310" w:rsidRPr="00FE3310" w:rsidRDefault="00FE3310" w:rsidP="00FE3310">
      <w:pPr>
        <w:jc w:val="both"/>
        <w:rPr>
          <w:szCs w:val="24"/>
        </w:rPr>
      </w:pPr>
      <w:r w:rsidRPr="00FE3310">
        <w:rPr>
          <w:szCs w:val="24"/>
        </w:rPr>
        <w:t xml:space="preserve">World Health </w:t>
      </w:r>
      <w:proofErr w:type="spellStart"/>
      <w:r w:rsidRPr="00FE3310">
        <w:rPr>
          <w:szCs w:val="24"/>
        </w:rPr>
        <w:t>Organisation</w:t>
      </w:r>
      <w:proofErr w:type="spellEnd"/>
      <w:r w:rsidRPr="00FE3310">
        <w:rPr>
          <w:szCs w:val="24"/>
        </w:rPr>
        <w:t xml:space="preserve"> (WHO)</w:t>
      </w:r>
    </w:p>
    <w:p w14:paraId="09162EDB" w14:textId="77777777" w:rsidR="00FE3310" w:rsidRPr="00FE3310" w:rsidRDefault="00FE3310" w:rsidP="00FE3310">
      <w:pPr>
        <w:jc w:val="both"/>
      </w:pPr>
      <w:hyperlink r:id="rId22" w:history="1">
        <w:r w:rsidRPr="00FE3310">
          <w:rPr>
            <w:color w:val="74CEE0" w:themeColor="hyperlink"/>
            <w:szCs w:val="24"/>
            <w:u w:val="single"/>
          </w:rPr>
          <w:t>http://www.who.int/topics/anaemia/en/who_unicef-anaemiastatement.pdf</w:t>
        </w:r>
      </w:hyperlink>
    </w:p>
    <w:p w14:paraId="331035CA" w14:textId="77777777" w:rsidR="00FE3310" w:rsidRPr="00FE3310" w:rsidRDefault="00FE3310" w:rsidP="00FE3310">
      <w:pPr>
        <w:jc w:val="both"/>
      </w:pPr>
    </w:p>
    <w:p w14:paraId="0FEC62FF" w14:textId="77777777" w:rsidR="00FE3310" w:rsidRPr="00FE3310" w:rsidRDefault="00FE3310" w:rsidP="00FE3310">
      <w:pPr>
        <w:jc w:val="both"/>
        <w:outlineLvl w:val="3"/>
        <w:rPr>
          <w:b/>
          <w:i/>
          <w:sz w:val="24"/>
          <w:szCs w:val="24"/>
        </w:rPr>
      </w:pPr>
      <w:r w:rsidRPr="00FE3310">
        <w:rPr>
          <w:b/>
          <w:i/>
          <w:sz w:val="24"/>
          <w:szCs w:val="24"/>
        </w:rPr>
        <w:t>References</w:t>
      </w:r>
    </w:p>
    <w:p w14:paraId="7A9E9797" w14:textId="77777777" w:rsidR="00FE3310" w:rsidRPr="00FE3310" w:rsidRDefault="00FE3310" w:rsidP="00FE3310">
      <w:pPr>
        <w:jc w:val="both"/>
        <w:rPr>
          <w:b/>
          <w:i/>
          <w:sz w:val="24"/>
          <w:szCs w:val="24"/>
        </w:rPr>
      </w:pPr>
      <w:r w:rsidRPr="00FE3310">
        <w:rPr>
          <w:b/>
          <w:i/>
          <w:sz w:val="24"/>
          <w:szCs w:val="24"/>
        </w:rPr>
        <w:br/>
      </w:r>
      <w:r w:rsidRPr="00FE3310">
        <w:rPr>
          <w:sz w:val="16"/>
          <w:szCs w:val="24"/>
        </w:rPr>
        <w:t xml:space="preserve">Sills R. Iron-deficiency anemia. In: </w:t>
      </w:r>
      <w:proofErr w:type="spellStart"/>
      <w:r w:rsidRPr="00FE3310">
        <w:rPr>
          <w:sz w:val="16"/>
          <w:szCs w:val="24"/>
        </w:rPr>
        <w:t>Kliegman</w:t>
      </w:r>
      <w:proofErr w:type="spellEnd"/>
      <w:r w:rsidRPr="00FE3310">
        <w:rPr>
          <w:sz w:val="16"/>
          <w:szCs w:val="24"/>
        </w:rPr>
        <w:t xml:space="preserve"> RM, Stanton BF, St </w:t>
      </w:r>
      <w:proofErr w:type="spellStart"/>
      <w:r w:rsidRPr="00FE3310">
        <w:rPr>
          <w:sz w:val="16"/>
          <w:szCs w:val="24"/>
        </w:rPr>
        <w:t>Geme</w:t>
      </w:r>
      <w:proofErr w:type="spellEnd"/>
      <w:r w:rsidRPr="00FE3310">
        <w:rPr>
          <w:sz w:val="16"/>
          <w:szCs w:val="24"/>
        </w:rPr>
        <w:t xml:space="preserve"> JW, </w:t>
      </w:r>
      <w:proofErr w:type="spellStart"/>
      <w:r w:rsidRPr="00FE3310">
        <w:rPr>
          <w:sz w:val="16"/>
          <w:szCs w:val="24"/>
        </w:rPr>
        <w:t>Schor</w:t>
      </w:r>
      <w:proofErr w:type="spellEnd"/>
      <w:r w:rsidRPr="00FE3310">
        <w:rPr>
          <w:sz w:val="16"/>
          <w:szCs w:val="24"/>
        </w:rPr>
        <w:t xml:space="preserve"> NF, eds. </w:t>
      </w:r>
      <w:r w:rsidRPr="00FE3310">
        <w:rPr>
          <w:i/>
          <w:sz w:val="16"/>
          <w:szCs w:val="24"/>
        </w:rPr>
        <w:t xml:space="preserve">Nelson Textbook of Pediatrics. </w:t>
      </w:r>
      <w:r w:rsidRPr="00FE3310">
        <w:rPr>
          <w:sz w:val="16"/>
          <w:szCs w:val="24"/>
        </w:rPr>
        <w:t>20th ed. Philadelphia, PA: Elsevier; 2016</w:t>
      </w:r>
      <w:proofErr w:type="gramStart"/>
      <w:r w:rsidRPr="00FE3310">
        <w:rPr>
          <w:sz w:val="16"/>
          <w:szCs w:val="24"/>
        </w:rPr>
        <w:t>:chap</w:t>
      </w:r>
      <w:proofErr w:type="gramEnd"/>
      <w:r w:rsidRPr="00FE3310">
        <w:rPr>
          <w:sz w:val="16"/>
          <w:szCs w:val="24"/>
        </w:rPr>
        <w:t xml:space="preserve"> 455.</w:t>
      </w:r>
    </w:p>
    <w:p w14:paraId="312A7C95" w14:textId="77777777" w:rsidR="00FE3310" w:rsidRPr="00FE3310" w:rsidRDefault="00FE3310" w:rsidP="00FE3310">
      <w:pPr>
        <w:shd w:val="clear" w:color="auto" w:fill="FFFFFF"/>
        <w:spacing w:before="100" w:beforeAutospacing="1" w:after="100" w:afterAutospacing="1"/>
        <w:jc w:val="both"/>
        <w:rPr>
          <w:sz w:val="16"/>
          <w:szCs w:val="24"/>
        </w:rPr>
      </w:pPr>
      <w:r w:rsidRPr="00FE3310">
        <w:rPr>
          <w:sz w:val="16"/>
          <w:szCs w:val="24"/>
        </w:rPr>
        <w:t xml:space="preserve">World Health Organization (2004) </w:t>
      </w:r>
      <w:r w:rsidRPr="00FE3310">
        <w:rPr>
          <w:rFonts w:cs="Tahoma"/>
          <w:sz w:val="16"/>
          <w:szCs w:val="24"/>
        </w:rPr>
        <w:t xml:space="preserve">Focusing on </w:t>
      </w:r>
      <w:proofErr w:type="spellStart"/>
      <w:r w:rsidRPr="00FE3310">
        <w:rPr>
          <w:rFonts w:cs="Tahoma"/>
          <w:sz w:val="16"/>
          <w:szCs w:val="24"/>
        </w:rPr>
        <w:t>anaemia</w:t>
      </w:r>
      <w:proofErr w:type="spellEnd"/>
      <w:r w:rsidRPr="00FE3310">
        <w:rPr>
          <w:rFonts w:cs="Tahoma"/>
          <w:sz w:val="16"/>
          <w:szCs w:val="24"/>
        </w:rPr>
        <w:t xml:space="preserve"> joint statement.</w:t>
      </w:r>
      <w:r w:rsidRPr="00FE3310">
        <w:rPr>
          <w:sz w:val="16"/>
          <w:szCs w:val="24"/>
        </w:rPr>
        <w:t xml:space="preserve"> World Health Organization and the United Nations Children's Fund.</w:t>
      </w:r>
    </w:p>
    <w:p w14:paraId="45FA3C5E" w14:textId="77777777" w:rsidR="00FE3310" w:rsidRPr="00FE3310" w:rsidRDefault="00FE3310" w:rsidP="00FE3310">
      <w:pPr>
        <w:jc w:val="both"/>
      </w:pPr>
    </w:p>
    <w:p w14:paraId="2BEAACA1" w14:textId="77777777" w:rsidR="00FE3310" w:rsidRPr="00FE3310" w:rsidRDefault="00FE3310" w:rsidP="00FE3310">
      <w:pPr>
        <w:jc w:val="both"/>
      </w:pPr>
    </w:p>
    <w:p w14:paraId="64ED6518" w14:textId="77777777" w:rsidR="00FE3310" w:rsidRPr="00FE3310" w:rsidRDefault="00FE3310" w:rsidP="00FE3310">
      <w:pPr>
        <w:jc w:val="both"/>
      </w:pPr>
    </w:p>
    <w:p w14:paraId="024C23F0" w14:textId="77777777" w:rsidR="00FE3310" w:rsidRPr="00FE3310" w:rsidRDefault="00FE3310" w:rsidP="00FE3310">
      <w:pPr>
        <w:jc w:val="both"/>
      </w:pPr>
    </w:p>
    <w:p w14:paraId="3E0B55FA" w14:textId="77777777" w:rsidR="00FE3310" w:rsidRPr="00FE3310" w:rsidRDefault="00FE3310" w:rsidP="00FE3310">
      <w:pPr>
        <w:jc w:val="both"/>
      </w:pPr>
    </w:p>
    <w:p w14:paraId="53EE1C9B" w14:textId="77777777" w:rsidR="00FE3310" w:rsidRPr="00FE3310" w:rsidRDefault="00FE3310" w:rsidP="00FE3310">
      <w:pPr>
        <w:jc w:val="both"/>
      </w:pPr>
    </w:p>
    <w:p w14:paraId="5F1D2C56" w14:textId="77777777" w:rsidR="00891D6E" w:rsidRDefault="00891D6E" w:rsidP="00FE3310">
      <w:pPr>
        <w:pStyle w:val="Heading1"/>
      </w:pPr>
      <w:bookmarkStart w:id="1" w:name="_GoBack"/>
      <w:bookmarkEnd w:id="1"/>
    </w:p>
    <w:sectPr w:rsidR="00891D6E" w:rsidSect="00C370A6">
      <w:headerReference w:type="default" r:id="rId23"/>
      <w:footerReference w:type="default" r:id="rId24"/>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D5734" w14:textId="77777777" w:rsidR="003E0B8C" w:rsidRDefault="003E0B8C" w:rsidP="00A66B13">
      <w:r>
        <w:separator/>
      </w:r>
    </w:p>
  </w:endnote>
  <w:endnote w:type="continuationSeparator" w:id="0">
    <w:p w14:paraId="0EC6E3F0" w14:textId="77777777" w:rsidR="003E0B8C" w:rsidRDefault="003E0B8C"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F24CEB1" w:rsidR="001A7EA7" w:rsidRDefault="00FE3310" w:rsidP="00A66B13">
    <w:pPr>
      <w:pStyle w:val="Footer"/>
    </w:pPr>
    <w:r>
      <w:rPr>
        <w:noProof/>
        <w:lang w:val="el-GR" w:eastAsia="el-GR"/>
      </w:rPr>
      <w:drawing>
        <wp:anchor distT="0" distB="0" distL="114300" distR="114300" simplePos="0" relativeHeight="251667968" behindDoc="0" locked="0" layoutInCell="1" allowOverlap="1" wp14:anchorId="72A0799E" wp14:editId="79B9FCD1">
          <wp:simplePos x="0" y="0"/>
          <wp:positionH relativeFrom="column">
            <wp:posOffset>-736600</wp:posOffset>
          </wp:positionH>
          <wp:positionV relativeFrom="paragraph">
            <wp:posOffset>-224790</wp:posOffset>
          </wp:positionV>
          <wp:extent cx="7196455" cy="643255"/>
          <wp:effectExtent l="0" t="0" r="0" b="0"/>
          <wp:wrapNone/>
          <wp:docPr id="10" name="Picture 10"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CF81E" w14:textId="77777777" w:rsidR="003E0B8C" w:rsidRDefault="003E0B8C" w:rsidP="00A66B13">
      <w:r>
        <w:separator/>
      </w:r>
    </w:p>
  </w:footnote>
  <w:footnote w:type="continuationSeparator" w:id="0">
    <w:p w14:paraId="531D676A" w14:textId="77777777" w:rsidR="003E0B8C" w:rsidRDefault="003E0B8C"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66F87029" w:rsidR="001A7EA7" w:rsidRDefault="00FE3310"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3B953AAA">
          <wp:simplePos x="0" y="0"/>
          <wp:positionH relativeFrom="column">
            <wp:posOffset>0</wp:posOffset>
          </wp:positionH>
          <wp:positionV relativeFrom="paragraph">
            <wp:posOffset>-127000</wp:posOffset>
          </wp:positionV>
          <wp:extent cx="1377315" cy="544195"/>
          <wp:effectExtent l="0" t="0" r="0" b="8255"/>
          <wp:wrapNone/>
          <wp:docPr id="12" name="Picture 1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1568"/>
    <w:multiLevelType w:val="hybridMultilevel"/>
    <w:tmpl w:val="B2B427BE"/>
    <w:lvl w:ilvl="0" w:tplc="FC145380">
      <w:start w:val="1"/>
      <w:numFmt w:val="decimal"/>
      <w:lvlText w:val="%1."/>
      <w:lvlJc w:val="left"/>
      <w:pPr>
        <w:ind w:left="720" w:hanging="360"/>
      </w:pPr>
      <w:rPr>
        <w:rFonts w:ascii="Calibri" w:hAnsi="Calibri" w:cs="Calibri" w:hint="default"/>
        <w:b w:val="0"/>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00F5A21"/>
    <w:multiLevelType w:val="hybridMultilevel"/>
    <w:tmpl w:val="FB86F164"/>
    <w:lvl w:ilvl="0" w:tplc="18A83756">
      <w:start w:val="1"/>
      <w:numFmt w:val="decimal"/>
      <w:lvlText w:val="%1."/>
      <w:lvlJc w:val="left"/>
      <w:pPr>
        <w:ind w:left="720" w:hanging="360"/>
      </w:pPr>
      <w:rPr>
        <w:rFonts w:hint="default"/>
        <w:b/>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5BF45679"/>
    <w:multiLevelType w:val="hybridMultilevel"/>
    <w:tmpl w:val="7B8E712C"/>
    <w:lvl w:ilvl="0" w:tplc="20CC747E">
      <w:start w:val="1"/>
      <w:numFmt w:val="decimal"/>
      <w:lvlText w:val="%1."/>
      <w:lvlJc w:val="left"/>
      <w:pPr>
        <w:ind w:left="720" w:hanging="360"/>
      </w:pPr>
      <w:rPr>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E3267CD"/>
    <w:multiLevelType w:val="hybridMultilevel"/>
    <w:tmpl w:val="E89409C2"/>
    <w:lvl w:ilvl="0" w:tplc="9BCC8CB2">
      <w:start w:val="1"/>
      <w:numFmt w:val="decimal"/>
      <w:lvlText w:val="%1."/>
      <w:lvlJc w:val="left"/>
      <w:pPr>
        <w:ind w:left="720" w:hanging="360"/>
      </w:pPr>
      <w:rPr>
        <w:rFonts w:ascii="Calibri" w:hAnsi="Calibri" w:hint="default"/>
        <w:b/>
        <w:color w:val="auto"/>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8"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8"/>
  </w:num>
  <w:num w:numId="5">
    <w:abstractNumId w:val="9"/>
  </w:num>
  <w:num w:numId="6">
    <w:abstractNumId w:val="4"/>
  </w:num>
  <w:num w:numId="7">
    <w:abstractNumId w:val="3"/>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3E0B8C"/>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 w:val="00FE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E3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www.hopkinsmedicine.org/healthlibrary/conditions/hematology_and_blood_disorders/iron-deficiency_anemia_85,P0007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dc.gov/mmwr/preview/mmwrhtml/00051880.htm" TargetMode="External"/><Relationship Id="rId7" Type="http://schemas.openxmlformats.org/officeDocument/2006/relationships/endnotes" Target="endnotes.xml"/><Relationship Id="rId12" Type="http://schemas.openxmlformats.org/officeDocument/2006/relationships/hyperlink" Target="http://www.schoolsandhealth.org/Pages/iron.aspx" TargetMode="External"/><Relationship Id="rId17" Type="http://schemas.openxmlformats.org/officeDocument/2006/relationships/hyperlink" Target="http://www.mayoclinic.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ayoclinic.org" TargetMode="External"/><Relationship Id="rId20" Type="http://schemas.openxmlformats.org/officeDocument/2006/relationships/hyperlink" Target="http://www.schoolsandhealth.org/Pages/iron.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hopkinsmedicine.org/healthlibrary/conditions/hematology_and_blood_disorders/iron-deficiency_anemia_85,P00077/" TargetMode="External"/><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www.hopkinsmedicine.org/healthlibrary/conditions/hematology_and_blood_disorders/iron-deficiency_anemia_85,P0007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choolsandhealth.org/Pages/iron.aspx" TargetMode="External"/><Relationship Id="rId22" Type="http://schemas.openxmlformats.org/officeDocument/2006/relationships/hyperlink" Target="http://www.who.int/topics/anaemia/en/who_unicef-anaemiastatement.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7AC00-D921-429E-A815-F1500AB4C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TotalTime>
  <Pages>5</Pages>
  <Words>1299</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2017-06-27T08:57:00Z</dcterms:modified>
</cp:coreProperties>
</file>